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2D604" w14:textId="7748D36F" w:rsidR="00416E4A" w:rsidRPr="00416E4A" w:rsidRDefault="00416E4A" w:rsidP="00416E4A">
      <w:pPr>
        <w:pStyle w:val="3GPPHeader"/>
        <w:rPr>
          <w:lang w:val="en-US"/>
        </w:rPr>
      </w:pPr>
      <w:r w:rsidRPr="00416E4A">
        <w:rPr>
          <w:lang w:val="en-US"/>
        </w:rPr>
        <w:t>3GPP TSG-RAN WG2 Meeting #11</w:t>
      </w:r>
      <w:r w:rsidR="00AE5E0F">
        <w:rPr>
          <w:lang w:val="en-US"/>
        </w:rPr>
        <w:t>3bis</w:t>
      </w:r>
      <w:r w:rsidRPr="00416E4A">
        <w:rPr>
          <w:lang w:val="en-US"/>
        </w:rPr>
        <w:t xml:space="preserve"> electronic</w:t>
      </w:r>
      <w:r w:rsidRPr="00416E4A">
        <w:rPr>
          <w:lang w:val="en-US"/>
        </w:rPr>
        <w:tab/>
      </w:r>
      <w:r w:rsidR="00101D09">
        <w:t>R2-2103747</w:t>
      </w:r>
    </w:p>
    <w:p w14:paraId="2E745AE3" w14:textId="2B848AA4" w:rsidR="00E90E49" w:rsidRDefault="00416E4A" w:rsidP="00416E4A">
      <w:pPr>
        <w:pStyle w:val="3GPPHeader"/>
        <w:rPr>
          <w:lang w:val="en-US"/>
        </w:rPr>
      </w:pPr>
      <w:r w:rsidRPr="00416E4A">
        <w:rPr>
          <w:lang w:val="en-US"/>
        </w:rPr>
        <w:t xml:space="preserve">Online, </w:t>
      </w:r>
      <w:r w:rsidR="00467CBE">
        <w:t>April 12 – April 20, 2021</w:t>
      </w:r>
    </w:p>
    <w:p w14:paraId="7A3A5CFA" w14:textId="77777777" w:rsidR="001E5FD2" w:rsidRPr="0075572D" w:rsidRDefault="001E5FD2" w:rsidP="00416E4A">
      <w:pPr>
        <w:pStyle w:val="3GPPHeader"/>
        <w:rPr>
          <w:lang w:val="en-US"/>
        </w:rPr>
      </w:pPr>
    </w:p>
    <w:p w14:paraId="40CF7388" w14:textId="4C424EAF" w:rsidR="00E90E49" w:rsidRPr="0075572D" w:rsidRDefault="00E90E49" w:rsidP="00311702">
      <w:pPr>
        <w:pStyle w:val="3GPPHeader"/>
        <w:rPr>
          <w:sz w:val="22"/>
          <w:lang w:val="en-US"/>
        </w:rPr>
      </w:pPr>
      <w:r w:rsidRPr="0075572D">
        <w:rPr>
          <w:sz w:val="22"/>
          <w:lang w:val="en-US"/>
        </w:rPr>
        <w:t>Agenda Item:</w:t>
      </w:r>
      <w:r w:rsidRPr="0075572D">
        <w:rPr>
          <w:sz w:val="22"/>
          <w:lang w:val="en-US"/>
        </w:rPr>
        <w:tab/>
      </w:r>
      <w:r w:rsidR="0015455E" w:rsidRPr="0075572D">
        <w:rPr>
          <w:sz w:val="22"/>
          <w:lang w:val="en-US"/>
        </w:rPr>
        <w:t>8</w:t>
      </w:r>
      <w:r w:rsidR="00311702" w:rsidRPr="0075572D">
        <w:rPr>
          <w:sz w:val="22"/>
          <w:lang w:val="en-US"/>
        </w:rPr>
        <w:t>.</w:t>
      </w:r>
      <w:r w:rsidR="0015455E" w:rsidRPr="0075572D">
        <w:rPr>
          <w:sz w:val="22"/>
          <w:lang w:val="en-US"/>
        </w:rPr>
        <w:t>10</w:t>
      </w:r>
      <w:r w:rsidR="00311702" w:rsidRPr="0075572D">
        <w:rPr>
          <w:sz w:val="22"/>
          <w:lang w:val="en-US"/>
        </w:rPr>
        <w:t>.</w:t>
      </w:r>
      <w:r w:rsidR="00A220E4" w:rsidRPr="0075572D">
        <w:rPr>
          <w:sz w:val="22"/>
          <w:lang w:val="en-US"/>
        </w:rPr>
        <w:t>3</w:t>
      </w:r>
      <w:r w:rsidR="00561A8D">
        <w:rPr>
          <w:sz w:val="22"/>
          <w:lang w:val="en-US"/>
        </w:rPr>
        <w:t>.</w:t>
      </w:r>
      <w:r w:rsidR="007329F5">
        <w:rPr>
          <w:sz w:val="22"/>
          <w:lang w:val="en-US"/>
        </w:rPr>
        <w:t>1</w:t>
      </w:r>
    </w:p>
    <w:p w14:paraId="719003AB" w14:textId="77777777" w:rsidR="00E90E49" w:rsidRPr="0075572D" w:rsidRDefault="003D3C45" w:rsidP="00F64C2B">
      <w:pPr>
        <w:pStyle w:val="3GPPHeader"/>
        <w:rPr>
          <w:sz w:val="22"/>
          <w:lang w:val="en-US"/>
        </w:rPr>
      </w:pPr>
      <w:r w:rsidRPr="0075572D">
        <w:rPr>
          <w:sz w:val="22"/>
          <w:lang w:val="en-US"/>
        </w:rPr>
        <w:t>Source:</w:t>
      </w:r>
      <w:r w:rsidR="00E90E49" w:rsidRPr="0075572D">
        <w:rPr>
          <w:sz w:val="22"/>
          <w:lang w:val="en-US"/>
        </w:rPr>
        <w:tab/>
      </w:r>
      <w:r w:rsidR="00F64C2B" w:rsidRPr="0075572D">
        <w:rPr>
          <w:sz w:val="22"/>
          <w:lang w:val="en-US"/>
        </w:rPr>
        <w:t>Ericsson</w:t>
      </w:r>
    </w:p>
    <w:p w14:paraId="3CE99A1A" w14:textId="31885EF1" w:rsidR="00E90E49" w:rsidRPr="000D1F6D" w:rsidRDefault="003D3C45" w:rsidP="00311702">
      <w:pPr>
        <w:pStyle w:val="3GPPHeader"/>
        <w:rPr>
          <w:sz w:val="22"/>
          <w:lang w:val="en-US"/>
        </w:rPr>
      </w:pPr>
      <w:r w:rsidRPr="0075572D">
        <w:rPr>
          <w:sz w:val="22"/>
          <w:lang w:val="en-US"/>
        </w:rPr>
        <w:t>Title:</w:t>
      </w:r>
      <w:r w:rsidR="00E90E49" w:rsidRPr="0075572D">
        <w:rPr>
          <w:sz w:val="22"/>
          <w:lang w:val="en-US"/>
        </w:rPr>
        <w:tab/>
      </w:r>
      <w:r w:rsidR="009C5425">
        <w:rPr>
          <w:sz w:val="22"/>
          <w:lang w:val="en-US"/>
        </w:rPr>
        <w:t xml:space="preserve">Aspects for Earth fixed and Earth moving beams </w:t>
      </w:r>
      <w:r w:rsidR="0075572D">
        <w:rPr>
          <w:sz w:val="22"/>
          <w:lang w:val="en-US"/>
        </w:rPr>
        <w:t>for NTN</w:t>
      </w:r>
    </w:p>
    <w:p w14:paraId="1C58528E" w14:textId="5C8DA81A" w:rsidR="00E90E49" w:rsidRPr="000D1F6D" w:rsidRDefault="00E90E49" w:rsidP="0015455E">
      <w:pPr>
        <w:pStyle w:val="3GPPHeader"/>
        <w:rPr>
          <w:sz w:val="22"/>
          <w:lang w:val="en-US"/>
        </w:rPr>
      </w:pPr>
      <w:r w:rsidRPr="000D1F6D">
        <w:rPr>
          <w:sz w:val="22"/>
          <w:lang w:val="en-US"/>
        </w:rPr>
        <w:t>Document for:</w:t>
      </w:r>
      <w:r w:rsidRPr="000D1F6D">
        <w:rPr>
          <w:sz w:val="22"/>
          <w:lang w:val="en-US"/>
        </w:rPr>
        <w:tab/>
        <w:t>Discussion, Decision</w:t>
      </w:r>
    </w:p>
    <w:p w14:paraId="0363E309" w14:textId="77777777" w:rsidR="00E90E49" w:rsidRPr="00A4369A" w:rsidRDefault="00230D18" w:rsidP="00CE0424">
      <w:pPr>
        <w:pStyle w:val="Heading1"/>
        <w:rPr>
          <w:lang w:val="en-US"/>
        </w:rPr>
      </w:pPr>
      <w:r w:rsidRPr="00A4369A">
        <w:rPr>
          <w:lang w:val="en-US"/>
        </w:rPr>
        <w:t>1</w:t>
      </w:r>
      <w:r w:rsidRPr="00A4369A">
        <w:rPr>
          <w:lang w:val="en-US"/>
        </w:rPr>
        <w:tab/>
      </w:r>
      <w:r w:rsidR="00E90E49" w:rsidRPr="00A4369A">
        <w:rPr>
          <w:lang w:val="en-US"/>
        </w:rPr>
        <w:t>Introduction</w:t>
      </w:r>
    </w:p>
    <w:p w14:paraId="32EE53B6" w14:textId="7FCDB9A4" w:rsidR="00E711FF" w:rsidRPr="000D1F6D" w:rsidRDefault="002A2A3F" w:rsidP="00CE0424">
      <w:pPr>
        <w:pStyle w:val="BodyText"/>
        <w:rPr>
          <w:lang w:val="en-US"/>
        </w:rPr>
      </w:pPr>
      <w:r w:rsidRPr="000D1F6D">
        <w:rPr>
          <w:lang w:val="en-US"/>
        </w:rPr>
        <w:t xml:space="preserve">A new </w:t>
      </w:r>
      <w:r w:rsidR="0015455E" w:rsidRPr="000D1F6D">
        <w:rPr>
          <w:lang w:val="en-US"/>
        </w:rPr>
        <w:t>W</w:t>
      </w:r>
      <w:r w:rsidRPr="000D1F6D">
        <w:rPr>
          <w:lang w:val="en-US"/>
        </w:rPr>
        <w:t xml:space="preserve">I on </w:t>
      </w:r>
      <w:r w:rsidR="0015455E" w:rsidRPr="000D1F6D">
        <w:rPr>
          <w:lang w:val="en-US"/>
        </w:rPr>
        <w:t>solutions for NR to support non-terrestrial networks (NTN)</w:t>
      </w:r>
      <w:r w:rsidRPr="000D1F6D">
        <w:rPr>
          <w:lang w:val="en-US"/>
        </w:rPr>
        <w:t xml:space="preserve"> was approved at RAN#86</w:t>
      </w:r>
      <w:r w:rsidR="0015455E" w:rsidRPr="000D1F6D">
        <w:rPr>
          <w:lang w:val="en-US"/>
        </w:rPr>
        <w:t xml:space="preserve">, with an updated WID approved at RAN#88 </w:t>
      </w:r>
      <w:r w:rsidR="0015455E" w:rsidRPr="00A4369A">
        <w:fldChar w:fldCharType="begin"/>
      </w:r>
      <w:r w:rsidR="0015455E" w:rsidRPr="000D1F6D">
        <w:rPr>
          <w:lang w:val="en-US"/>
        </w:rPr>
        <w:instrText xml:space="preserve"> REF _Ref45286859 \r \h </w:instrText>
      </w:r>
      <w:r w:rsidR="0015455E" w:rsidRPr="00A4369A">
        <w:fldChar w:fldCharType="separate"/>
      </w:r>
      <w:r w:rsidR="007406CA" w:rsidRPr="000D1F6D">
        <w:rPr>
          <w:lang w:val="en-US"/>
        </w:rPr>
        <w:t>[1]</w:t>
      </w:r>
      <w:r w:rsidR="0015455E" w:rsidRPr="00A4369A">
        <w:fldChar w:fldCharType="end"/>
      </w:r>
      <w:r w:rsidR="00E711FF" w:rsidRPr="000D1F6D">
        <w:rPr>
          <w:lang w:val="en-US"/>
        </w:rPr>
        <w:t>. The WI aims to specify the following control plane enhancements:</w:t>
      </w:r>
    </w:p>
    <w:p w14:paraId="084BCF11" w14:textId="77777777" w:rsidR="00E711FF" w:rsidRPr="00A4369A" w:rsidRDefault="00E711FF" w:rsidP="00E711FF">
      <w:pPr>
        <w:numPr>
          <w:ilvl w:val="0"/>
          <w:numId w:val="32"/>
        </w:numPr>
        <w:overflowPunct w:val="0"/>
        <w:autoSpaceDE w:val="0"/>
        <w:autoSpaceDN w:val="0"/>
        <w:adjustRightInd w:val="0"/>
        <w:spacing w:after="200" w:line="276" w:lineRule="auto"/>
        <w:contextualSpacing/>
        <w:rPr>
          <w:rFonts w:ascii="Times New Roman" w:eastAsia="Calibri" w:hAnsi="Times New Roman" w:cs="Times New Roman"/>
          <w:sz w:val="20"/>
          <w:szCs w:val="20"/>
        </w:rPr>
      </w:pPr>
      <w:r w:rsidRPr="00A4369A">
        <w:rPr>
          <w:rFonts w:ascii="Times New Roman" w:eastAsia="Calibri" w:hAnsi="Times New Roman" w:cs="Calibri"/>
          <w:sz w:val="20"/>
          <w:szCs w:val="20"/>
        </w:rPr>
        <w:t xml:space="preserve">Idle mode: </w:t>
      </w:r>
    </w:p>
    <w:p w14:paraId="5F538156"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Definition of additional assistance information for cell selection/reselection (e.g. using UE location information, satellite Ephemeris information)</w:t>
      </w:r>
    </w:p>
    <w:p w14:paraId="2195A8FE"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Definition of NTN (satellite/HAPS) cell specific information in SIB</w:t>
      </w:r>
    </w:p>
    <w:p w14:paraId="0580EF92" w14:textId="77777777" w:rsidR="00E711FF" w:rsidRPr="00A4369A" w:rsidRDefault="00E711FF" w:rsidP="00E711FF">
      <w:pPr>
        <w:numPr>
          <w:ilvl w:val="0"/>
          <w:numId w:val="32"/>
        </w:numPr>
        <w:overflowPunct w:val="0"/>
        <w:autoSpaceDE w:val="0"/>
        <w:autoSpaceDN w:val="0"/>
        <w:adjustRightInd w:val="0"/>
        <w:spacing w:after="200" w:line="276" w:lineRule="auto"/>
        <w:contextualSpacing/>
        <w:rPr>
          <w:rFonts w:ascii="Times New Roman" w:eastAsia="Calibri" w:hAnsi="Times New Roman" w:cs="Calibri"/>
          <w:sz w:val="20"/>
          <w:szCs w:val="20"/>
        </w:rPr>
      </w:pPr>
      <w:r w:rsidRPr="00A4369A">
        <w:rPr>
          <w:rFonts w:ascii="Times New Roman" w:eastAsia="Calibri" w:hAnsi="Times New Roman" w:cs="Calibri"/>
          <w:sz w:val="20"/>
          <w:szCs w:val="20"/>
        </w:rPr>
        <w:t>Connected mode</w:t>
      </w:r>
    </w:p>
    <w:p w14:paraId="3E73589B"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 xml:space="preserve">Enhancement necessary to </w:t>
      </w:r>
      <w:proofErr w:type="gramStart"/>
      <w:r w:rsidRPr="000D1F6D">
        <w:rPr>
          <w:rFonts w:ascii="Times New Roman" w:eastAsia="Calibri" w:hAnsi="Times New Roman" w:cs="Calibri"/>
          <w:sz w:val="20"/>
          <w:szCs w:val="20"/>
          <w:lang w:val="en-US"/>
        </w:rPr>
        <w:t>take into account</w:t>
      </w:r>
      <w:proofErr w:type="gramEnd"/>
      <w:r w:rsidRPr="000D1F6D">
        <w:rPr>
          <w:rFonts w:ascii="Times New Roman" w:eastAsia="Calibri" w:hAnsi="Times New Roman" w:cs="Calibri"/>
          <w:sz w:val="20"/>
          <w:szCs w:val="20"/>
          <w:lang w:val="en-US"/>
        </w:rPr>
        <w:t xml:space="preserve"> location information (UE &amp; Satellite/HAPS) and/or ephemeris in determining when to perform hand-over, in order to have a high degree of hand-over control for hand-over robustness and coverage management.</w:t>
      </w:r>
    </w:p>
    <w:p w14:paraId="6A1AFE5C"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r w:rsidRPr="000D1F6D">
        <w:rPr>
          <w:rFonts w:ascii="Times New Roman" w:eastAsia="Calibri" w:hAnsi="Times New Roman" w:cs="Calibri"/>
          <w:sz w:val="20"/>
          <w:szCs w:val="20"/>
          <w:lang w:val="en-US"/>
        </w:rPr>
        <w:t>Enhancement to existing measurement configurations to address absolute propagation delay difference between satellites (e.g. SMTC measurement gap adaptation to the SSB/CSI-RS measurement window) [RAN2/4].</w:t>
      </w:r>
    </w:p>
    <w:p w14:paraId="289CF746" w14:textId="77777777" w:rsidR="00E711FF" w:rsidRPr="000D1F6D" w:rsidRDefault="00E711FF" w:rsidP="00E711FF">
      <w:pPr>
        <w:numPr>
          <w:ilvl w:val="1"/>
          <w:numId w:val="32"/>
        </w:numPr>
        <w:overflowPunct w:val="0"/>
        <w:autoSpaceDE w:val="0"/>
        <w:autoSpaceDN w:val="0"/>
        <w:adjustRightInd w:val="0"/>
        <w:spacing w:after="200" w:line="276" w:lineRule="auto"/>
        <w:contextualSpacing/>
        <w:rPr>
          <w:rFonts w:ascii="Times New Roman" w:eastAsia="Calibri" w:hAnsi="Times New Roman" w:cs="Calibri"/>
          <w:sz w:val="20"/>
          <w:szCs w:val="20"/>
          <w:lang w:val="en-US"/>
        </w:rPr>
      </w:pPr>
    </w:p>
    <w:p w14:paraId="28C708D4" w14:textId="77777777" w:rsidR="00E711FF" w:rsidRPr="000D1F6D" w:rsidRDefault="00E711FF" w:rsidP="00E711FF">
      <w:pPr>
        <w:numPr>
          <w:ilvl w:val="0"/>
          <w:numId w:val="32"/>
        </w:numPr>
        <w:overflowPunct w:val="0"/>
        <w:autoSpaceDE w:val="0"/>
        <w:autoSpaceDN w:val="0"/>
        <w:adjustRightInd w:val="0"/>
        <w:spacing w:after="200" w:line="276" w:lineRule="auto"/>
        <w:contextualSpacing/>
        <w:rPr>
          <w:rFonts w:ascii="Calibri" w:eastAsia="Calibri" w:hAnsi="Calibri" w:cs="Calibri"/>
          <w:lang w:val="en-US"/>
        </w:rPr>
      </w:pPr>
      <w:r w:rsidRPr="000D1F6D">
        <w:rPr>
          <w:rFonts w:ascii="Times New Roman" w:eastAsia="Calibri" w:hAnsi="Times New Roman" w:cs="Calibri"/>
          <w:sz w:val="20"/>
          <w:szCs w:val="20"/>
          <w:lang w:val="en-US"/>
        </w:rPr>
        <w:t>Service continuity for mobility from TN to NTN and from NTN to TN systems (to be addressed when connected mode mobility has sufficiently progressed)</w:t>
      </w:r>
    </w:p>
    <w:p w14:paraId="76AA8308" w14:textId="77777777" w:rsidR="00E711FF" w:rsidRPr="000D1F6D" w:rsidRDefault="00E711FF" w:rsidP="00E711FF">
      <w:pPr>
        <w:overflowPunct w:val="0"/>
        <w:autoSpaceDE w:val="0"/>
        <w:autoSpaceDN w:val="0"/>
        <w:adjustRightInd w:val="0"/>
        <w:spacing w:after="0" w:line="240" w:lineRule="auto"/>
        <w:rPr>
          <w:rFonts w:ascii="Times New Roman" w:eastAsia="Times New Roman" w:hAnsi="Times New Roman" w:cs="Times New Roman"/>
          <w:sz w:val="20"/>
          <w:szCs w:val="20"/>
          <w:lang w:val="en-US"/>
        </w:rPr>
      </w:pPr>
    </w:p>
    <w:p w14:paraId="0671B7D4" w14:textId="77777777" w:rsidR="00E711FF" w:rsidRPr="000D1F6D" w:rsidRDefault="00E711FF" w:rsidP="00E711FF">
      <w:pPr>
        <w:numPr>
          <w:ilvl w:val="0"/>
          <w:numId w:val="33"/>
        </w:numPr>
        <w:overflowPunct w:val="0"/>
        <w:autoSpaceDE w:val="0"/>
        <w:autoSpaceDN w:val="0"/>
        <w:adjustRightInd w:val="0"/>
        <w:spacing w:after="180" w:line="240" w:lineRule="auto"/>
        <w:ind w:left="720"/>
        <w:rPr>
          <w:rFonts w:ascii="Times New Roman" w:eastAsia="Times New Roman" w:hAnsi="Times New Roman" w:cs="Times New Roman"/>
          <w:sz w:val="20"/>
          <w:szCs w:val="20"/>
          <w:lang w:val="en-US"/>
        </w:rPr>
      </w:pPr>
      <w:r w:rsidRPr="000D1F6D">
        <w:rPr>
          <w:rFonts w:ascii="Times New Roman" w:eastAsia="Times New Roman" w:hAnsi="Times New Roman" w:cs="Times New Roman"/>
          <w:sz w:val="20"/>
          <w:szCs w:val="20"/>
          <w:lang w:val="en-US"/>
        </w:rPr>
        <w:t>Identify potential issues associated to the use of the existing Location Services (LCS) application protocols to locate UE in the context of NTN and specify adaptations if any [RAN2/3]</w:t>
      </w:r>
    </w:p>
    <w:p w14:paraId="6A582711" w14:textId="77777777" w:rsidR="002A5984" w:rsidRDefault="002A5984" w:rsidP="002A5984">
      <w:pPr>
        <w:pStyle w:val="BodyText"/>
      </w:pPr>
      <w:r>
        <w:rPr>
          <w:lang w:val="en-US"/>
        </w:rPr>
        <w:t>Agreements from RAN2#113e:</w:t>
      </w:r>
    </w:p>
    <w:p w14:paraId="52DFB8BA" w14:textId="77777777" w:rsidR="002A5984" w:rsidRDefault="002A5984" w:rsidP="002A5984">
      <w:pPr>
        <w:pStyle w:val="Comments"/>
      </w:pPr>
    </w:p>
    <w:p w14:paraId="6BBE9394" w14:textId="77777777" w:rsidR="002A5984" w:rsidRDefault="002A5984" w:rsidP="002A5984">
      <w:pPr>
        <w:pStyle w:val="Doc-text2"/>
        <w:pBdr>
          <w:top w:val="single" w:sz="4" w:space="1" w:color="auto"/>
          <w:left w:val="single" w:sz="4" w:space="4" w:color="auto"/>
          <w:bottom w:val="single" w:sz="4" w:space="1" w:color="auto"/>
          <w:right w:val="single" w:sz="4" w:space="4" w:color="auto"/>
        </w:pBdr>
      </w:pPr>
      <w:r>
        <w:t>Agreements:</w:t>
      </w:r>
    </w:p>
    <w:p w14:paraId="09309712" w14:textId="77777777" w:rsidR="002A5984" w:rsidRDefault="002A5984" w:rsidP="002A5984">
      <w:pPr>
        <w:pStyle w:val="Doc-text2"/>
        <w:numPr>
          <w:ilvl w:val="0"/>
          <w:numId w:val="46"/>
        </w:numPr>
        <w:pBdr>
          <w:top w:val="single" w:sz="4" w:space="1" w:color="auto"/>
          <w:left w:val="single" w:sz="4" w:space="4" w:color="auto"/>
          <w:bottom w:val="single" w:sz="4" w:space="1" w:color="auto"/>
          <w:right w:val="single" w:sz="4" w:space="4" w:color="auto"/>
        </w:pBdr>
        <w:spacing w:line="240" w:lineRule="auto"/>
      </w:pPr>
      <w:r>
        <w:t xml:space="preserve">The NTN ephemeris is divided into serving cell’s ephemeris and neighbour’s ephemeris. FFS how would they differ regarding e.g. the required accuracy or signalling impact.    </w:t>
      </w:r>
    </w:p>
    <w:p w14:paraId="28203C39" w14:textId="77777777" w:rsidR="002A5984" w:rsidRDefault="002A5984" w:rsidP="002A5984">
      <w:pPr>
        <w:pStyle w:val="Doc-text2"/>
        <w:numPr>
          <w:ilvl w:val="0"/>
          <w:numId w:val="46"/>
        </w:numPr>
        <w:pBdr>
          <w:top w:val="single" w:sz="4" w:space="1" w:color="auto"/>
          <w:left w:val="single" w:sz="4" w:space="4" w:color="auto"/>
          <w:bottom w:val="single" w:sz="4" w:space="1" w:color="auto"/>
          <w:right w:val="single" w:sz="4" w:space="4" w:color="auto"/>
        </w:pBdr>
        <w:spacing w:line="240" w:lineRule="auto"/>
      </w:pPr>
      <w:r>
        <w:t xml:space="preserve">Consider pre-configuration in uSIM, NAS, SIB and RRC signalling for providing the NTN ephemeris. Further discussion depends on the agreed ephemeris contents.  </w:t>
      </w:r>
    </w:p>
    <w:p w14:paraId="77B31066" w14:textId="77777777" w:rsidR="002A5984" w:rsidRDefault="002A5984" w:rsidP="002A5984">
      <w:pPr>
        <w:pStyle w:val="Comments"/>
      </w:pPr>
    </w:p>
    <w:p w14:paraId="2B891403" w14:textId="77777777" w:rsidR="002A5984" w:rsidRDefault="002A5984" w:rsidP="002A5984">
      <w:pPr>
        <w:pStyle w:val="Comments"/>
      </w:pPr>
    </w:p>
    <w:p w14:paraId="44D193C7" w14:textId="77777777" w:rsidR="002A5984" w:rsidRDefault="002A5984" w:rsidP="002A5984">
      <w:pPr>
        <w:pStyle w:val="Doc-text2"/>
        <w:pBdr>
          <w:top w:val="single" w:sz="4" w:space="1" w:color="auto"/>
          <w:left w:val="single" w:sz="4" w:space="4" w:color="auto"/>
          <w:bottom w:val="single" w:sz="4" w:space="1" w:color="auto"/>
          <w:right w:val="single" w:sz="4" w:space="4" w:color="auto"/>
        </w:pBdr>
      </w:pPr>
      <w:r>
        <w:t>Agreements:</w:t>
      </w:r>
    </w:p>
    <w:p w14:paraId="371F0738" w14:textId="77777777" w:rsidR="002A5984" w:rsidRDefault="002A5984" w:rsidP="002A5984">
      <w:pPr>
        <w:pStyle w:val="Doc-text2"/>
        <w:numPr>
          <w:ilvl w:val="0"/>
          <w:numId w:val="47"/>
        </w:numPr>
        <w:pBdr>
          <w:top w:val="single" w:sz="4" w:space="1" w:color="auto"/>
          <w:left w:val="single" w:sz="4" w:space="4" w:color="auto"/>
          <w:bottom w:val="single" w:sz="4" w:space="1" w:color="auto"/>
          <w:right w:val="single" w:sz="4" w:space="4" w:color="auto"/>
        </w:pBdr>
        <w:spacing w:line="240" w:lineRule="auto"/>
      </w:pPr>
      <w:r w:rsidRPr="006A2CEA">
        <w:t>RAN2 thinks that a UE needs to know whether the network is a TN or NTN no later than SIB1 reception</w:t>
      </w:r>
    </w:p>
    <w:p w14:paraId="3C64C596" w14:textId="77777777" w:rsidR="002A5984" w:rsidRDefault="002A5984" w:rsidP="002A5984">
      <w:pPr>
        <w:pStyle w:val="Doc-text2"/>
        <w:numPr>
          <w:ilvl w:val="0"/>
          <w:numId w:val="47"/>
        </w:numPr>
        <w:pBdr>
          <w:top w:val="single" w:sz="4" w:space="1" w:color="auto"/>
          <w:left w:val="single" w:sz="4" w:space="4" w:color="auto"/>
          <w:bottom w:val="single" w:sz="4" w:space="1" w:color="auto"/>
          <w:right w:val="single" w:sz="4" w:space="4" w:color="auto"/>
        </w:pBdr>
        <w:spacing w:line="240" w:lineRule="auto"/>
      </w:pPr>
      <w:r w:rsidRPr="006A2CEA">
        <w:lastRenderedPageBreak/>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00FCE7F5" w14:textId="77777777" w:rsidR="002A5984" w:rsidRDefault="002A5984" w:rsidP="002A5984">
      <w:pPr>
        <w:pStyle w:val="Comments"/>
      </w:pPr>
    </w:p>
    <w:p w14:paraId="069EFB24" w14:textId="5E4065E2" w:rsidR="00CF2712" w:rsidRPr="000D1F6D" w:rsidRDefault="00CF2712" w:rsidP="00CE0424">
      <w:pPr>
        <w:pStyle w:val="BodyText"/>
        <w:rPr>
          <w:lang w:val="en-US"/>
        </w:rPr>
      </w:pPr>
    </w:p>
    <w:p w14:paraId="67918ABB" w14:textId="4045CD6B" w:rsidR="00E711FF" w:rsidRPr="000D1F6D" w:rsidRDefault="00E711FF" w:rsidP="00CE0424">
      <w:pPr>
        <w:pStyle w:val="BodyText"/>
        <w:rPr>
          <w:lang w:val="en-US"/>
        </w:rPr>
      </w:pPr>
      <w:r w:rsidRPr="000D1F6D">
        <w:rPr>
          <w:lang w:val="en-US"/>
        </w:rPr>
        <w:t xml:space="preserve">In this contribution, we provide our view on </w:t>
      </w:r>
      <w:r w:rsidR="002A5984">
        <w:rPr>
          <w:lang w:val="en-US"/>
        </w:rPr>
        <w:t>details on how the information on “</w:t>
      </w:r>
      <w:r w:rsidR="002A5984" w:rsidRPr="006A2CEA">
        <w:t>when a cell is going to stop serving the area and/or the timing information (e.g. timer or absolute time) about new upcoming cell is supported at least in Earth-fixed NTN scenario.</w:t>
      </w:r>
      <w:r w:rsidR="002A5984">
        <w:rPr>
          <w:lang w:val="en-US"/>
        </w:rPr>
        <w:t>”</w:t>
      </w:r>
      <w:r w:rsidR="00A619FD">
        <w:rPr>
          <w:lang w:val="en-US"/>
        </w:rPr>
        <w:t xml:space="preserve"> is impacting the UE behaviors excluding CHO related  aspects which are discussed in </w:t>
      </w:r>
    </w:p>
    <w:p w14:paraId="7C9A146D" w14:textId="50AA9E7D" w:rsidR="001A14BF" w:rsidRDefault="00230D18" w:rsidP="0086218C">
      <w:pPr>
        <w:pStyle w:val="Heading1"/>
        <w:rPr>
          <w:lang w:val="en-US"/>
        </w:rPr>
      </w:pPr>
      <w:bookmarkStart w:id="0" w:name="_Ref178064866"/>
      <w:r w:rsidRPr="00A4369A">
        <w:rPr>
          <w:lang w:val="en-US"/>
        </w:rPr>
        <w:t>2</w:t>
      </w:r>
      <w:r w:rsidR="009879EF">
        <w:rPr>
          <w:lang w:val="en-US"/>
        </w:rPr>
        <w:t xml:space="preserve"> Solutions specific to soft feeder link switch and service link switch for Earth fixed beams</w:t>
      </w:r>
    </w:p>
    <w:p w14:paraId="74DD0BFB" w14:textId="37DBB95A" w:rsidR="00B215E1" w:rsidRPr="00244CB9" w:rsidRDefault="00B215E1" w:rsidP="00B215E1">
      <w:pPr>
        <w:pStyle w:val="BodyText"/>
        <w:rPr>
          <w:lang w:val="en-US"/>
        </w:rPr>
      </w:pPr>
      <w:r>
        <w:rPr>
          <w:lang w:val="en-US"/>
        </w:rPr>
        <w:t>The s</w:t>
      </w:r>
      <w:r w:rsidRPr="00437C69">
        <w:rPr>
          <w:rFonts w:eastAsia="Malgun Gothic" w:cs="Arial"/>
          <w:lang w:val="en-US"/>
        </w:rPr>
        <w:t xml:space="preserve">oft </w:t>
      </w:r>
      <w:r>
        <w:rPr>
          <w:rFonts w:eastAsia="Malgun Gothic" w:cs="Arial"/>
          <w:lang w:val="en-US"/>
        </w:rPr>
        <w:t xml:space="preserve">and hard </w:t>
      </w:r>
      <w:r w:rsidRPr="00437C69">
        <w:rPr>
          <w:rFonts w:eastAsia="Malgun Gothic" w:cs="Arial"/>
          <w:lang w:val="en-US"/>
        </w:rPr>
        <w:t xml:space="preserve">feeder link switch is depicted for Earth moving and Earth fixed beams in Figure 1. Here, as </w:t>
      </w:r>
      <w:proofErr w:type="spellStart"/>
      <w:r w:rsidRPr="00437C69">
        <w:rPr>
          <w:rFonts w:eastAsia="Malgun Gothic" w:cs="Arial"/>
          <w:lang w:val="en-US"/>
        </w:rPr>
        <w:t>gNBs</w:t>
      </w:r>
      <w:proofErr w:type="spellEnd"/>
      <w:r w:rsidRPr="00437C69">
        <w:rPr>
          <w:rFonts w:eastAsia="Malgun Gothic" w:cs="Arial"/>
          <w:lang w:val="en-US"/>
        </w:rPr>
        <w:t xml:space="preserve"> are at the GW, the </w:t>
      </w:r>
      <w:proofErr w:type="spellStart"/>
      <w:r w:rsidRPr="00437C69">
        <w:rPr>
          <w:rFonts w:eastAsia="Malgun Gothic" w:cs="Arial"/>
          <w:lang w:val="en-US"/>
        </w:rPr>
        <w:t>Uu</w:t>
      </w:r>
      <w:proofErr w:type="spellEnd"/>
      <w:r w:rsidRPr="00437C69">
        <w:rPr>
          <w:rFonts w:eastAsia="Malgun Gothic" w:cs="Arial"/>
          <w:lang w:val="en-US"/>
        </w:rPr>
        <w:t xml:space="preserve"> interface is over the air via feeder link and then via service link. </w:t>
      </w:r>
    </w:p>
    <w:p w14:paraId="5F21A2C1" w14:textId="77777777" w:rsidR="00B215E1" w:rsidRPr="00244CB9" w:rsidRDefault="00B215E1" w:rsidP="00B215E1">
      <w:pPr>
        <w:spacing w:before="120" w:after="120"/>
        <w:jc w:val="both"/>
        <w:rPr>
          <w:lang w:val="en-US" w:eastAsia="ja-JP"/>
        </w:rPr>
      </w:pPr>
    </w:p>
    <w:p w14:paraId="286DA8A5" w14:textId="77777777" w:rsidR="00B215E1" w:rsidRDefault="00B215E1" w:rsidP="00B215E1">
      <w:pPr>
        <w:keepNext/>
        <w:spacing w:before="120" w:after="120"/>
        <w:jc w:val="both"/>
      </w:pPr>
      <w:r w:rsidRPr="0017115E">
        <w:rPr>
          <w:noProof/>
        </w:rPr>
        <w:drawing>
          <wp:inline distT="0" distB="0" distL="0" distR="0" wp14:anchorId="2E4C5D75" wp14:editId="42AA170A">
            <wp:extent cx="5054124" cy="2416138"/>
            <wp:effectExtent l="0" t="0" r="0" b="0"/>
            <wp:docPr id="85" name="Picture 84">
              <a:extLst xmlns:a="http://schemas.openxmlformats.org/drawingml/2006/main">
                <a:ext uri="{FF2B5EF4-FFF2-40B4-BE49-F238E27FC236}">
                  <a16:creationId xmlns:a16="http://schemas.microsoft.com/office/drawing/2014/main" id="{508C154A-AE98-474F-BF45-8160AE1FA6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4">
                      <a:extLst>
                        <a:ext uri="{FF2B5EF4-FFF2-40B4-BE49-F238E27FC236}">
                          <a16:creationId xmlns:a16="http://schemas.microsoft.com/office/drawing/2014/main" id="{508C154A-AE98-474F-BF45-8160AE1FA61A}"/>
                        </a:ext>
                      </a:extLst>
                    </pic:cNvPr>
                    <pic:cNvPicPr>
                      <a:picLocks noChangeAspect="1"/>
                    </pic:cNvPicPr>
                  </pic:nvPicPr>
                  <pic:blipFill>
                    <a:blip r:embed="rId11"/>
                    <a:stretch>
                      <a:fillRect/>
                    </a:stretch>
                  </pic:blipFill>
                  <pic:spPr>
                    <a:xfrm>
                      <a:off x="0" y="0"/>
                      <a:ext cx="5054124" cy="2416138"/>
                    </a:xfrm>
                    <a:prstGeom prst="rect">
                      <a:avLst/>
                    </a:prstGeom>
                  </pic:spPr>
                </pic:pic>
              </a:graphicData>
            </a:graphic>
          </wp:inline>
        </w:drawing>
      </w:r>
    </w:p>
    <w:p w14:paraId="11EB9650" w14:textId="77777777" w:rsidR="00B215E1" w:rsidRDefault="00B215E1" w:rsidP="00B215E1">
      <w:pPr>
        <w:pStyle w:val="Caption"/>
        <w:jc w:val="both"/>
      </w:pPr>
      <w:r w:rsidRPr="00287058">
        <w:rPr>
          <w:noProof/>
        </w:rPr>
        <w:drawing>
          <wp:inline distT="0" distB="0" distL="0" distR="0" wp14:anchorId="1242A3B1" wp14:editId="218E749A">
            <wp:extent cx="5134870" cy="2063750"/>
            <wp:effectExtent l="0" t="0" r="8890" b="0"/>
            <wp:docPr id="4" name="Picture 3">
              <a:extLst xmlns:a="http://schemas.openxmlformats.org/drawingml/2006/main">
                <a:ext uri="{FF2B5EF4-FFF2-40B4-BE49-F238E27FC236}">
                  <a16:creationId xmlns:a16="http://schemas.microsoft.com/office/drawing/2014/main" id="{6D9FCB6F-5A62-488E-9187-2FB2702E25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6D9FCB6F-5A62-488E-9187-2FB2702E2533}"/>
                        </a:ext>
                      </a:extLst>
                    </pic:cNvPr>
                    <pic:cNvPicPr>
                      <a:picLocks noChangeAspect="1"/>
                    </pic:cNvPicPr>
                  </pic:nvPicPr>
                  <pic:blipFill>
                    <a:blip r:embed="rId12"/>
                    <a:stretch>
                      <a:fillRect/>
                    </a:stretch>
                  </pic:blipFill>
                  <pic:spPr>
                    <a:xfrm>
                      <a:off x="0" y="0"/>
                      <a:ext cx="5149406" cy="2069592"/>
                    </a:xfrm>
                    <a:prstGeom prst="rect">
                      <a:avLst/>
                    </a:prstGeom>
                  </pic:spPr>
                </pic:pic>
              </a:graphicData>
            </a:graphic>
          </wp:inline>
        </w:drawing>
      </w:r>
    </w:p>
    <w:p w14:paraId="15F242C6" w14:textId="77777777" w:rsidR="00B215E1" w:rsidRPr="00244CB9" w:rsidRDefault="00B215E1" w:rsidP="00B215E1">
      <w:pPr>
        <w:pStyle w:val="Caption"/>
        <w:jc w:val="both"/>
        <w:rPr>
          <w:lang w:val="en-US" w:eastAsia="ja-JP"/>
        </w:rPr>
      </w:pPr>
      <w:r w:rsidRPr="00244CB9">
        <w:rPr>
          <w:lang w:val="en-US"/>
        </w:rPr>
        <w:t>Figure 1 Soft(upper) and hard(lower) feeder link switch for both Earth moving and Earth fixed beams</w:t>
      </w:r>
    </w:p>
    <w:p w14:paraId="09F852E4" w14:textId="77777777" w:rsidR="00B215E1" w:rsidRDefault="00B215E1" w:rsidP="00B215E1">
      <w:pPr>
        <w:rPr>
          <w:lang w:val="en-US" w:eastAsia="ja-JP"/>
        </w:rPr>
      </w:pPr>
    </w:p>
    <w:p w14:paraId="1690A7B5" w14:textId="77777777" w:rsidR="00B215E1" w:rsidRPr="0050502B" w:rsidRDefault="00B215E1" w:rsidP="00B215E1">
      <w:pPr>
        <w:spacing w:before="240"/>
        <w:jc w:val="both"/>
        <w:rPr>
          <w:rFonts w:ascii="Arial" w:eastAsia="Malgun Gothic" w:hAnsi="Arial" w:cs="Arial"/>
          <w:lang w:val="en-US"/>
        </w:rPr>
      </w:pPr>
      <w:r w:rsidRPr="0050502B">
        <w:rPr>
          <w:rFonts w:ascii="Arial" w:eastAsia="Malgun Gothic" w:hAnsi="Arial" w:cs="Arial"/>
          <w:lang w:val="en-US"/>
        </w:rPr>
        <w:lastRenderedPageBreak/>
        <w:t xml:space="preserve">The service link switch depicted in Figure 2. Due to the movement of the non-GEO satellites in relation to the surface of the earth, at some point in time one satellite leaves and is not able to serve a certain geographical area. </w:t>
      </w:r>
    </w:p>
    <w:p w14:paraId="467E8B0B" w14:textId="77777777" w:rsidR="00B215E1" w:rsidRPr="00244CB9" w:rsidRDefault="00B215E1" w:rsidP="00B215E1">
      <w:pPr>
        <w:spacing w:before="120" w:after="120"/>
        <w:jc w:val="both"/>
        <w:rPr>
          <w:lang w:val="en-US"/>
        </w:rPr>
      </w:pPr>
    </w:p>
    <w:p w14:paraId="7FA8F8FD" w14:textId="77777777" w:rsidR="00B215E1" w:rsidRDefault="00B215E1" w:rsidP="00B215E1">
      <w:pPr>
        <w:keepNext/>
        <w:spacing w:before="120" w:after="120"/>
        <w:jc w:val="both"/>
      </w:pPr>
      <w:r>
        <w:rPr>
          <w:noProof/>
        </w:rPr>
        <w:drawing>
          <wp:inline distT="0" distB="0" distL="0" distR="0" wp14:anchorId="711BED5E" wp14:editId="576E1C8B">
            <wp:extent cx="4326185" cy="26317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4326185" cy="2631758"/>
                    </a:xfrm>
                    <a:prstGeom prst="rect">
                      <a:avLst/>
                    </a:prstGeom>
                  </pic:spPr>
                </pic:pic>
              </a:graphicData>
            </a:graphic>
          </wp:inline>
        </w:drawing>
      </w:r>
    </w:p>
    <w:p w14:paraId="1064F381" w14:textId="77777777" w:rsidR="00B215E1" w:rsidRPr="00244CB9" w:rsidRDefault="00B215E1" w:rsidP="00B215E1">
      <w:pPr>
        <w:pStyle w:val="Caption"/>
        <w:jc w:val="both"/>
        <w:rPr>
          <w:lang w:val="en-US"/>
        </w:rPr>
      </w:pPr>
      <w:r w:rsidRPr="00244CB9">
        <w:rPr>
          <w:lang w:val="en-US"/>
        </w:rPr>
        <w:t>Figure 2 Service link switch for Earth fixed beams</w:t>
      </w:r>
    </w:p>
    <w:p w14:paraId="0BDE5D6E" w14:textId="77777777" w:rsidR="00B215E1" w:rsidRPr="00D85F6B" w:rsidRDefault="00B215E1" w:rsidP="00B215E1">
      <w:pPr>
        <w:spacing w:before="240"/>
        <w:jc w:val="both"/>
        <w:rPr>
          <w:lang w:val="en-US"/>
        </w:rPr>
      </w:pPr>
      <w:r w:rsidRPr="0050502B">
        <w:rPr>
          <w:rFonts w:ascii="Arial" w:eastAsia="Malgun Gothic" w:hAnsi="Arial" w:cs="Arial"/>
          <w:lang w:val="en-US"/>
        </w:rPr>
        <w:t xml:space="preserve">One relevant and common aspect for both Fig 1 and Fig 2 is that one cell/PCI is going to stop serving an area. The remaining time </w:t>
      </w:r>
      <w:proofErr w:type="spellStart"/>
      <w:r w:rsidRPr="0050502B">
        <w:rPr>
          <w:rFonts w:ascii="Arial" w:eastAsia="Malgun Gothic" w:hAnsi="Arial" w:cs="Arial"/>
          <w:lang w:val="en-US"/>
        </w:rPr>
        <w:t>Tservice</w:t>
      </w:r>
      <w:proofErr w:type="spellEnd"/>
      <w:r w:rsidRPr="0050502B">
        <w:rPr>
          <w:rFonts w:ascii="Arial" w:eastAsia="Malgun Gothic" w:hAnsi="Arial" w:cs="Arial"/>
          <w:lang w:val="en-US"/>
        </w:rPr>
        <w:t xml:space="preserve"> until the cell/PCI is going to stop serving an area can be defined. While the exact definition can vary and can be discussed further, it is possible to discuss the relevance of the </w:t>
      </w:r>
      <w:proofErr w:type="spellStart"/>
      <w:r w:rsidRPr="0050502B">
        <w:rPr>
          <w:rFonts w:ascii="Arial" w:eastAsia="Malgun Gothic" w:hAnsi="Arial" w:cs="Arial"/>
          <w:lang w:val="en-US"/>
        </w:rPr>
        <w:t>Tservice</w:t>
      </w:r>
      <w:proofErr w:type="spellEnd"/>
      <w:r w:rsidRPr="0050502B">
        <w:rPr>
          <w:rFonts w:ascii="Arial" w:eastAsia="Malgun Gothic" w:hAnsi="Arial" w:cs="Arial"/>
          <w:lang w:val="en-US"/>
        </w:rPr>
        <w:t xml:space="preserve"> with respect </w:t>
      </w:r>
      <w:r>
        <w:rPr>
          <w:rFonts w:ascii="Arial" w:eastAsia="Malgun Gothic" w:hAnsi="Arial" w:cs="Arial"/>
          <w:lang w:val="en-US"/>
        </w:rPr>
        <w:t>cell selection/reselection</w:t>
      </w:r>
      <w:r w:rsidRPr="0050502B">
        <w:rPr>
          <w:rFonts w:ascii="Arial" w:eastAsia="Malgun Gothic" w:hAnsi="Arial" w:cs="Arial"/>
          <w:lang w:val="en-US"/>
        </w:rPr>
        <w:t xml:space="preserve"> without the exact definition settled.</w:t>
      </w:r>
    </w:p>
    <w:p w14:paraId="6CB2F5F6" w14:textId="77777777" w:rsidR="00B215E1" w:rsidRPr="0050502B" w:rsidRDefault="00B215E1" w:rsidP="00B215E1">
      <w:pPr>
        <w:pStyle w:val="Observation"/>
        <w:rPr>
          <w:lang w:val="en-US"/>
        </w:rPr>
      </w:pPr>
      <w:bookmarkStart w:id="1" w:name="_Toc54336182"/>
      <w:bookmarkStart w:id="2" w:name="_Toc61449920"/>
      <w:bookmarkStart w:id="3" w:name="_Toc53147761"/>
      <w:bookmarkStart w:id="4" w:name="_Toc68194373"/>
      <w:r>
        <w:rPr>
          <w:lang w:val="en-US"/>
        </w:rPr>
        <w:t>For feeder and service link switches</w:t>
      </w:r>
      <w:r w:rsidRPr="00244CB9">
        <w:rPr>
          <w:lang w:val="en-US"/>
        </w:rPr>
        <w:t xml:space="preserve"> one cell/PCI is going to stop serving an area at a certain time.</w:t>
      </w:r>
      <w:bookmarkEnd w:id="1"/>
      <w:bookmarkEnd w:id="2"/>
      <w:bookmarkEnd w:id="4"/>
      <w:r w:rsidRPr="00244CB9">
        <w:rPr>
          <w:lang w:val="en-US"/>
        </w:rPr>
        <w:t xml:space="preserve"> </w:t>
      </w:r>
    </w:p>
    <w:p w14:paraId="2892D6A1" w14:textId="77777777" w:rsidR="00B215E1" w:rsidRPr="001571D3" w:rsidRDefault="00B215E1" w:rsidP="00B215E1">
      <w:pPr>
        <w:pStyle w:val="Observation"/>
        <w:rPr>
          <w:lang w:val="en-US"/>
        </w:rPr>
      </w:pPr>
      <w:bookmarkStart w:id="5" w:name="_Toc54336183"/>
      <w:bookmarkStart w:id="6" w:name="_Toc61449921"/>
      <w:bookmarkStart w:id="7" w:name="_Toc68194374"/>
      <w:r w:rsidRPr="00244CB9">
        <w:rPr>
          <w:lang w:val="en-US"/>
        </w:rPr>
        <w:t xml:space="preserve">The remaining time </w:t>
      </w:r>
      <w:proofErr w:type="spellStart"/>
      <w:r w:rsidRPr="00244CB9">
        <w:rPr>
          <w:lang w:val="en-US"/>
        </w:rPr>
        <w:t>T</w:t>
      </w:r>
      <w:r w:rsidRPr="00244CB9">
        <w:rPr>
          <w:vertAlign w:val="subscript"/>
          <w:lang w:val="en-US"/>
        </w:rPr>
        <w:t>service</w:t>
      </w:r>
      <w:proofErr w:type="spellEnd"/>
      <w:r w:rsidRPr="00244CB9">
        <w:rPr>
          <w:lang w:val="en-US"/>
        </w:rPr>
        <w:t xml:space="preserve"> until the cell/PCI is going to stop serving an area can be defined.</w:t>
      </w:r>
      <w:bookmarkEnd w:id="3"/>
      <w:bookmarkEnd w:id="5"/>
      <w:bookmarkEnd w:id="6"/>
      <w:bookmarkEnd w:id="7"/>
    </w:p>
    <w:p w14:paraId="2440A67F" w14:textId="77777777" w:rsidR="00B215E1" w:rsidRPr="00244CB9" w:rsidRDefault="00B215E1" w:rsidP="00B215E1">
      <w:pPr>
        <w:pStyle w:val="BodyText"/>
        <w:rPr>
          <w:lang w:val="en-US"/>
        </w:rPr>
      </w:pPr>
      <w:r>
        <w:rPr>
          <w:lang w:val="en-US"/>
        </w:rPr>
        <w:t xml:space="preserve">For those scenarios, location and RSRP are not enough to trigger cell reselection for a UE that is in the center of the cell that is going to vanish. </w:t>
      </w:r>
    </w:p>
    <w:p w14:paraId="5F401EF7" w14:textId="77777777" w:rsidR="00B215E1" w:rsidRPr="00244CB9" w:rsidRDefault="00B215E1" w:rsidP="00B215E1">
      <w:pPr>
        <w:pStyle w:val="BodyText"/>
        <w:rPr>
          <w:lang w:val="en-US"/>
        </w:rPr>
      </w:pPr>
    </w:p>
    <w:p w14:paraId="39F0D8DA" w14:textId="77777777" w:rsidR="00B215E1" w:rsidRDefault="00B215E1" w:rsidP="00B215E1">
      <w:pPr>
        <w:pStyle w:val="Observation"/>
        <w:overflowPunct w:val="0"/>
        <w:autoSpaceDE w:val="0"/>
        <w:autoSpaceDN w:val="0"/>
        <w:adjustRightInd w:val="0"/>
        <w:spacing w:line="240" w:lineRule="auto"/>
        <w:textAlignment w:val="baseline"/>
        <w:rPr>
          <w:lang w:val="en-US"/>
        </w:rPr>
      </w:pPr>
      <w:bookmarkStart w:id="8" w:name="_Toc54336184"/>
      <w:bookmarkStart w:id="9" w:name="_Toc61449922"/>
      <w:bookmarkStart w:id="10" w:name="_Toc68194375"/>
      <w:r>
        <w:rPr>
          <w:lang w:val="en-US"/>
        </w:rPr>
        <w:t>The location and RSRP are not enough to trigger cell selection for a UE that is in the center of the cell that is going to vanish</w:t>
      </w:r>
      <w:bookmarkEnd w:id="8"/>
      <w:bookmarkEnd w:id="9"/>
      <w:bookmarkEnd w:id="10"/>
    </w:p>
    <w:p w14:paraId="67BBE4FB" w14:textId="77777777" w:rsidR="00B215E1" w:rsidRDefault="00B215E1" w:rsidP="00B215E1">
      <w:pPr>
        <w:pStyle w:val="Proposal"/>
        <w:overflowPunct w:val="0"/>
        <w:autoSpaceDE w:val="0"/>
        <w:autoSpaceDN w:val="0"/>
        <w:adjustRightInd w:val="0"/>
        <w:spacing w:line="240" w:lineRule="auto"/>
        <w:textAlignment w:val="baseline"/>
        <w:rPr>
          <w:lang w:val="en-US"/>
        </w:rPr>
      </w:pPr>
      <w:bookmarkStart w:id="11" w:name="_Toc54336189"/>
      <w:bookmarkStart w:id="12" w:name="_Toc61449929"/>
      <w:bookmarkStart w:id="13" w:name="_Toc68194377"/>
      <w:r w:rsidRPr="00B65F0A">
        <w:rPr>
          <w:lang w:val="en-US"/>
        </w:rPr>
        <w:t xml:space="preserve">RAN2 </w:t>
      </w:r>
      <w:r>
        <w:rPr>
          <w:lang w:val="en-US"/>
        </w:rPr>
        <w:t>should take</w:t>
      </w:r>
      <w:r w:rsidRPr="006203E0">
        <w:rPr>
          <w:lang w:val="en-US"/>
        </w:rPr>
        <w:t xml:space="preserve"> the </w:t>
      </w:r>
      <w:proofErr w:type="spellStart"/>
      <w:r w:rsidRPr="00BE277C">
        <w:rPr>
          <w:lang w:val="en-US"/>
        </w:rPr>
        <w:t>Tservice</w:t>
      </w:r>
      <w:proofErr w:type="spellEnd"/>
      <w:r w:rsidRPr="00BE277C">
        <w:rPr>
          <w:lang w:val="en-US"/>
        </w:rPr>
        <w:t xml:space="preserve"> </w:t>
      </w:r>
      <w:r w:rsidRPr="006203E0">
        <w:rPr>
          <w:lang w:val="en-US"/>
        </w:rPr>
        <w:t xml:space="preserve">into account </w:t>
      </w:r>
      <w:bookmarkEnd w:id="11"/>
      <w:r>
        <w:rPr>
          <w:lang w:val="en-US"/>
        </w:rPr>
        <w:t>for cell selection and reselection</w:t>
      </w:r>
      <w:bookmarkEnd w:id="12"/>
      <w:bookmarkEnd w:id="13"/>
    </w:p>
    <w:p w14:paraId="7B5EF146" w14:textId="77777777" w:rsidR="00944F75" w:rsidRDefault="00944F75" w:rsidP="00A469E0">
      <w:pPr>
        <w:overflowPunct w:val="0"/>
        <w:autoSpaceDE w:val="0"/>
        <w:autoSpaceDN w:val="0"/>
        <w:adjustRightInd w:val="0"/>
        <w:spacing w:before="120" w:after="120" w:line="240" w:lineRule="auto"/>
        <w:contextualSpacing/>
        <w:jc w:val="both"/>
        <w:textAlignment w:val="baseline"/>
      </w:pPr>
    </w:p>
    <w:p w14:paraId="59B9E296" w14:textId="4B36723A" w:rsidR="00EB7242" w:rsidRDefault="00EB7242" w:rsidP="00A469E0">
      <w:pPr>
        <w:overflowPunct w:val="0"/>
        <w:autoSpaceDE w:val="0"/>
        <w:autoSpaceDN w:val="0"/>
        <w:adjustRightInd w:val="0"/>
        <w:spacing w:before="120" w:after="120" w:line="240" w:lineRule="auto"/>
        <w:contextualSpacing/>
        <w:jc w:val="both"/>
        <w:textAlignment w:val="baseline"/>
      </w:pPr>
    </w:p>
    <w:p w14:paraId="268FA0BE" w14:textId="5CAE23FC" w:rsidR="00522E92" w:rsidRDefault="00C279E8" w:rsidP="00CA3CCD">
      <w:pPr>
        <w:overflowPunct w:val="0"/>
        <w:autoSpaceDE w:val="0"/>
        <w:autoSpaceDN w:val="0"/>
        <w:adjustRightInd w:val="0"/>
        <w:spacing w:before="120" w:after="120" w:line="240" w:lineRule="auto"/>
        <w:contextualSpacing/>
        <w:jc w:val="both"/>
        <w:textAlignment w:val="baseline"/>
      </w:pPr>
      <w:r w:rsidRPr="0050502B">
        <w:rPr>
          <w:rFonts w:ascii="Arial" w:hAnsi="Arial" w:cs="Arial"/>
          <w:sz w:val="32"/>
          <w:szCs w:val="32"/>
          <w:lang w:val="en-US"/>
        </w:rPr>
        <w:t xml:space="preserve">2.1 </w:t>
      </w:r>
      <w:r w:rsidR="00CA3CCD" w:rsidRPr="00CA3CCD">
        <w:rPr>
          <w:rFonts w:ascii="Arial" w:hAnsi="Arial" w:cs="Arial"/>
          <w:sz w:val="32"/>
          <w:szCs w:val="32"/>
          <w:lang w:val="en-US"/>
        </w:rPr>
        <w:t>RSRP measurements for cell reselection</w:t>
      </w:r>
    </w:p>
    <w:p w14:paraId="5C5597B7" w14:textId="77777777" w:rsidR="00B9642B" w:rsidRPr="00543FDC" w:rsidRDefault="00B9642B" w:rsidP="00B9642B">
      <w:pPr>
        <w:pStyle w:val="BodyText"/>
        <w:rPr>
          <w:lang w:val="en-US"/>
        </w:rPr>
      </w:pPr>
      <w:r>
        <w:rPr>
          <w:lang w:val="en-US"/>
        </w:rPr>
        <w:t>Another aspect is idle mode measurements.</w:t>
      </w:r>
      <w:r w:rsidRPr="00543FDC">
        <w:rPr>
          <w:lang w:val="en-US"/>
        </w:rPr>
        <w:t xml:space="preserve"> In current NR, the UE is expected to regularly perform RSRP/RSRQ measurements for cell reselection purposes in idle mode on inter-frequency and intra-frequency </w:t>
      </w:r>
      <w:proofErr w:type="spellStart"/>
      <w:r w:rsidRPr="00543FDC">
        <w:rPr>
          <w:lang w:val="en-US"/>
        </w:rPr>
        <w:t>neighbouring</w:t>
      </w:r>
      <w:proofErr w:type="spellEnd"/>
      <w:r w:rsidRPr="00543FDC">
        <w:rPr>
          <w:lang w:val="en-US"/>
        </w:rPr>
        <w:t xml:space="preserve"> cells. There is however a set of exceptions to these rules which are based on whether the signal strength/quality of the current cell is above certain thresholds, which is generally as below:</w:t>
      </w:r>
    </w:p>
    <w:p w14:paraId="5AAA35D9" w14:textId="77777777" w:rsidR="00B9642B" w:rsidRPr="00543FDC" w:rsidRDefault="00B9642B" w:rsidP="00B9642B">
      <w:pPr>
        <w:pStyle w:val="BodyText"/>
        <w:numPr>
          <w:ilvl w:val="0"/>
          <w:numId w:val="45"/>
        </w:numPr>
        <w:tabs>
          <w:tab w:val="left" w:pos="2552"/>
          <w:tab w:val="left" w:pos="3856"/>
          <w:tab w:val="left" w:pos="5216"/>
          <w:tab w:val="left" w:pos="6464"/>
          <w:tab w:val="left" w:pos="7768"/>
          <w:tab w:val="left" w:pos="9072"/>
          <w:tab w:val="left" w:pos="9639"/>
        </w:tabs>
        <w:spacing w:before="240" w:after="0" w:line="240" w:lineRule="auto"/>
        <w:rPr>
          <w:lang w:val="en-US"/>
        </w:rPr>
      </w:pPr>
      <w:r w:rsidRPr="00543FDC">
        <w:rPr>
          <w:lang w:val="en-US"/>
        </w:rPr>
        <w:lastRenderedPageBreak/>
        <w:t xml:space="preserve">the cell selection RX level value (related to RSRP measurements) </w:t>
      </w:r>
      <w:proofErr w:type="spellStart"/>
      <w:r w:rsidRPr="00543FDC">
        <w:rPr>
          <w:lang w:val="en-US"/>
        </w:rPr>
        <w:t>Srxlev</w:t>
      </w:r>
      <w:proofErr w:type="spellEnd"/>
      <w:r w:rsidRPr="00543FDC">
        <w:rPr>
          <w:lang w:val="en-US"/>
        </w:rPr>
        <w:t xml:space="preserve"> &gt; </w:t>
      </w:r>
      <w:proofErr w:type="spellStart"/>
      <w:r w:rsidRPr="00543FDC">
        <w:rPr>
          <w:lang w:val="en-US"/>
        </w:rPr>
        <w:t>ThresholdP</w:t>
      </w:r>
      <w:proofErr w:type="spellEnd"/>
    </w:p>
    <w:p w14:paraId="4EE0B506" w14:textId="77777777" w:rsidR="00B9642B" w:rsidRPr="00543FDC" w:rsidRDefault="00B9642B" w:rsidP="00B9642B">
      <w:pPr>
        <w:pStyle w:val="BodyText"/>
        <w:numPr>
          <w:ilvl w:val="0"/>
          <w:numId w:val="45"/>
        </w:numPr>
        <w:tabs>
          <w:tab w:val="left" w:pos="2552"/>
          <w:tab w:val="left" w:pos="3856"/>
          <w:tab w:val="left" w:pos="5216"/>
          <w:tab w:val="left" w:pos="6464"/>
          <w:tab w:val="left" w:pos="7768"/>
          <w:tab w:val="left" w:pos="9072"/>
          <w:tab w:val="left" w:pos="9639"/>
        </w:tabs>
        <w:spacing w:before="240" w:after="0" w:line="240" w:lineRule="auto"/>
        <w:rPr>
          <w:lang w:val="en-US"/>
        </w:rPr>
      </w:pPr>
      <w:r w:rsidRPr="00543FDC">
        <w:rPr>
          <w:lang w:val="en-US"/>
        </w:rPr>
        <w:t xml:space="preserve">the cell selection quality value (related to RSRQ measurements) </w:t>
      </w:r>
      <w:proofErr w:type="spellStart"/>
      <w:r w:rsidRPr="00543FDC">
        <w:rPr>
          <w:lang w:val="en-US"/>
        </w:rPr>
        <w:t>Squal</w:t>
      </w:r>
      <w:proofErr w:type="spellEnd"/>
      <w:r w:rsidRPr="00543FDC">
        <w:rPr>
          <w:lang w:val="en-US"/>
        </w:rPr>
        <w:t xml:space="preserve"> &gt; </w:t>
      </w:r>
      <w:proofErr w:type="spellStart"/>
      <w:r w:rsidRPr="00543FDC">
        <w:rPr>
          <w:lang w:val="en-US"/>
        </w:rPr>
        <w:t>ThresholdQ</w:t>
      </w:r>
      <w:proofErr w:type="spellEnd"/>
    </w:p>
    <w:p w14:paraId="1D8D964D" w14:textId="77777777" w:rsidR="00B9642B" w:rsidRPr="00543FDC" w:rsidRDefault="00B9642B" w:rsidP="00B9642B">
      <w:pPr>
        <w:pStyle w:val="BodyText"/>
        <w:tabs>
          <w:tab w:val="left" w:pos="2552"/>
          <w:tab w:val="left" w:pos="3856"/>
          <w:tab w:val="left" w:pos="5216"/>
          <w:tab w:val="left" w:pos="6464"/>
          <w:tab w:val="left" w:pos="7768"/>
          <w:tab w:val="left" w:pos="9072"/>
          <w:tab w:val="left" w:pos="9639"/>
        </w:tabs>
        <w:spacing w:before="240" w:after="0" w:line="240" w:lineRule="auto"/>
        <w:rPr>
          <w:lang w:val="en-US"/>
        </w:rPr>
      </w:pPr>
    </w:p>
    <w:p w14:paraId="1616DD9A" w14:textId="6E8EC058" w:rsidR="00B9642B" w:rsidRPr="00543FDC" w:rsidRDefault="00B9642B" w:rsidP="009F279B">
      <w:pPr>
        <w:pStyle w:val="BodyText"/>
        <w:rPr>
          <w:lang w:val="en-US"/>
        </w:rPr>
      </w:pPr>
      <w:r w:rsidRPr="00543FDC">
        <w:rPr>
          <w:lang w:val="en-US"/>
        </w:rPr>
        <w:t xml:space="preserve">If these are fulfilled the UE may choose not to perform intra-frequency, or inter-frequency, measurements whichever applies. </w:t>
      </w:r>
      <w:r w:rsidRPr="00543FDC">
        <w:rPr>
          <w:rFonts w:eastAsia="Malgun Gothic" w:cs="Arial"/>
          <w:lang w:val="en-US"/>
        </w:rPr>
        <w:t xml:space="preserve">For </w:t>
      </w:r>
      <w:r w:rsidR="009F279B">
        <w:rPr>
          <w:rFonts w:eastAsia="Malgun Gothic" w:cs="Arial"/>
          <w:lang w:val="en-US"/>
        </w:rPr>
        <w:t>feeder link and service link switch</w:t>
      </w:r>
      <w:r w:rsidRPr="00543FDC">
        <w:rPr>
          <w:rFonts w:eastAsia="Malgun Gothic" w:cs="Arial"/>
          <w:lang w:val="en-US"/>
        </w:rPr>
        <w:t xml:space="preserve"> scenarios, RSRP </w:t>
      </w:r>
      <w:r w:rsidR="00AE5E0F">
        <w:rPr>
          <w:rFonts w:eastAsia="Malgun Gothic" w:cs="Arial"/>
          <w:lang w:val="en-US"/>
        </w:rPr>
        <w:t>is</w:t>
      </w:r>
      <w:r w:rsidRPr="00543FDC">
        <w:rPr>
          <w:rFonts w:eastAsia="Malgun Gothic" w:cs="Arial"/>
          <w:lang w:val="en-US"/>
        </w:rPr>
        <w:t xml:space="preserve"> not enough to trigger measurements for a UE that is in the center of the cell that is going to vanish. </w:t>
      </w:r>
      <w:r w:rsidRPr="0050502B">
        <w:rPr>
          <w:rFonts w:eastAsia="Malgun Gothic" w:cs="Arial"/>
          <w:lang w:val="en-US"/>
        </w:rPr>
        <w:t xml:space="preserve">One relevant and common aspect for both Fig 1 and Fig 2 is that one cell/PCI is going to stop serving an area. The remaining time </w:t>
      </w:r>
      <w:proofErr w:type="spellStart"/>
      <w:r w:rsidRPr="0050502B">
        <w:rPr>
          <w:rFonts w:eastAsia="Malgun Gothic" w:cs="Arial"/>
          <w:lang w:val="en-US"/>
        </w:rPr>
        <w:t>Tservice</w:t>
      </w:r>
      <w:proofErr w:type="spellEnd"/>
      <w:r w:rsidRPr="0050502B">
        <w:rPr>
          <w:rFonts w:eastAsia="Malgun Gothic" w:cs="Arial"/>
          <w:lang w:val="en-US"/>
        </w:rPr>
        <w:t xml:space="preserve"> until the cell/PCI is going to stop serving an area can be defined. While the exact definition can vary and can be discussed further, it is possible to discuss the relevance of the </w:t>
      </w:r>
      <w:proofErr w:type="spellStart"/>
      <w:r w:rsidRPr="0050502B">
        <w:rPr>
          <w:rFonts w:eastAsia="Malgun Gothic" w:cs="Arial"/>
          <w:lang w:val="en-US"/>
        </w:rPr>
        <w:t>Tservice</w:t>
      </w:r>
      <w:proofErr w:type="spellEnd"/>
      <w:r w:rsidRPr="0050502B">
        <w:rPr>
          <w:rFonts w:eastAsia="Malgun Gothic" w:cs="Arial"/>
          <w:lang w:val="en-US"/>
        </w:rPr>
        <w:t xml:space="preserve"> with respect </w:t>
      </w:r>
      <w:r>
        <w:rPr>
          <w:rFonts w:eastAsia="Malgun Gothic" w:cs="Arial"/>
          <w:lang w:val="en-US"/>
        </w:rPr>
        <w:t>RSRP measurement for cell reselection</w:t>
      </w:r>
      <w:r w:rsidRPr="0050502B">
        <w:rPr>
          <w:rFonts w:eastAsia="Malgun Gothic" w:cs="Arial"/>
          <w:lang w:val="en-US"/>
        </w:rPr>
        <w:t xml:space="preserve"> without the exact definition settled.</w:t>
      </w:r>
    </w:p>
    <w:p w14:paraId="0640240E" w14:textId="77777777" w:rsidR="00B9642B" w:rsidRPr="00543FDC" w:rsidRDefault="00B9642B" w:rsidP="00B9642B">
      <w:pPr>
        <w:pStyle w:val="BodyText"/>
        <w:rPr>
          <w:lang w:val="en-US"/>
        </w:rPr>
      </w:pPr>
    </w:p>
    <w:p w14:paraId="65B3EF05" w14:textId="77777777" w:rsidR="00B9642B" w:rsidRDefault="00B9642B" w:rsidP="00B9642B">
      <w:pPr>
        <w:pStyle w:val="Observation"/>
        <w:overflowPunct w:val="0"/>
        <w:autoSpaceDE w:val="0"/>
        <w:autoSpaceDN w:val="0"/>
        <w:adjustRightInd w:val="0"/>
        <w:spacing w:line="240" w:lineRule="auto"/>
        <w:textAlignment w:val="baseline"/>
        <w:rPr>
          <w:lang w:val="en-US"/>
        </w:rPr>
      </w:pPr>
      <w:bookmarkStart w:id="14" w:name="_Toc61449924"/>
      <w:bookmarkStart w:id="15" w:name="_Toc68194376"/>
      <w:r>
        <w:rPr>
          <w:lang w:val="en-US"/>
        </w:rPr>
        <w:t>The location and RSRP are not enough to trigger cell selection for a UE that is in the center of the cell that is going to vanish</w:t>
      </w:r>
      <w:bookmarkEnd w:id="14"/>
      <w:bookmarkEnd w:id="15"/>
    </w:p>
    <w:p w14:paraId="42E58D06" w14:textId="77777777" w:rsidR="00B9642B" w:rsidRDefault="00B9642B" w:rsidP="00B9642B">
      <w:pPr>
        <w:pStyle w:val="Proposal"/>
        <w:overflowPunct w:val="0"/>
        <w:autoSpaceDE w:val="0"/>
        <w:autoSpaceDN w:val="0"/>
        <w:adjustRightInd w:val="0"/>
        <w:spacing w:line="240" w:lineRule="auto"/>
        <w:textAlignment w:val="baseline"/>
        <w:rPr>
          <w:lang w:val="en-US"/>
        </w:rPr>
      </w:pPr>
      <w:bookmarkStart w:id="16" w:name="_Toc61449931"/>
      <w:bookmarkStart w:id="17" w:name="_Toc68194378"/>
      <w:r w:rsidRPr="00B65F0A">
        <w:rPr>
          <w:lang w:val="en-US"/>
        </w:rPr>
        <w:t xml:space="preserve">RAN2 </w:t>
      </w:r>
      <w:r>
        <w:rPr>
          <w:lang w:val="en-US"/>
        </w:rPr>
        <w:t>should take</w:t>
      </w:r>
      <w:r w:rsidRPr="006203E0">
        <w:rPr>
          <w:lang w:val="en-US"/>
        </w:rPr>
        <w:t xml:space="preserve"> the </w:t>
      </w:r>
      <w:proofErr w:type="spellStart"/>
      <w:r w:rsidRPr="00BE277C">
        <w:rPr>
          <w:lang w:val="en-US"/>
        </w:rPr>
        <w:t>Tservice</w:t>
      </w:r>
      <w:proofErr w:type="spellEnd"/>
      <w:r w:rsidRPr="00BE277C">
        <w:rPr>
          <w:lang w:val="en-US"/>
        </w:rPr>
        <w:t xml:space="preserve"> </w:t>
      </w:r>
      <w:r w:rsidRPr="006203E0">
        <w:rPr>
          <w:lang w:val="en-US"/>
        </w:rPr>
        <w:t xml:space="preserve">into account </w:t>
      </w:r>
      <w:r>
        <w:rPr>
          <w:lang w:val="en-US"/>
        </w:rPr>
        <w:t>for the idle mode measurement rules.</w:t>
      </w:r>
      <w:bookmarkEnd w:id="16"/>
      <w:bookmarkEnd w:id="17"/>
    </w:p>
    <w:p w14:paraId="5D6C52F8" w14:textId="77777777" w:rsidR="00AA014D" w:rsidRDefault="00AA014D" w:rsidP="00AA014D">
      <w:pPr>
        <w:overflowPunct w:val="0"/>
        <w:autoSpaceDE w:val="0"/>
        <w:autoSpaceDN w:val="0"/>
        <w:adjustRightInd w:val="0"/>
        <w:spacing w:before="120" w:after="120" w:line="240" w:lineRule="auto"/>
        <w:contextualSpacing/>
        <w:jc w:val="both"/>
        <w:textAlignment w:val="baseline"/>
      </w:pPr>
    </w:p>
    <w:p w14:paraId="09AFA418" w14:textId="77777777" w:rsidR="005600CD" w:rsidRPr="005600CD" w:rsidRDefault="005600CD" w:rsidP="005600CD">
      <w:pPr>
        <w:rPr>
          <w:lang w:eastAsia="en-GB"/>
        </w:rPr>
      </w:pPr>
    </w:p>
    <w:bookmarkEnd w:id="0"/>
    <w:p w14:paraId="16184499" w14:textId="77777777" w:rsidR="00C01F33" w:rsidRPr="00A4369A" w:rsidRDefault="00C01F33" w:rsidP="00CE0424">
      <w:pPr>
        <w:pStyle w:val="Heading1"/>
        <w:rPr>
          <w:lang w:val="en-US"/>
        </w:rPr>
      </w:pPr>
      <w:r w:rsidRPr="00A4369A">
        <w:rPr>
          <w:lang w:val="en-US"/>
        </w:rPr>
        <w:t>Conclusion</w:t>
      </w:r>
    </w:p>
    <w:p w14:paraId="3C0C63AB" w14:textId="77777777" w:rsidR="008E065E" w:rsidRPr="000D1F6D" w:rsidRDefault="008E065E" w:rsidP="008E065E">
      <w:pPr>
        <w:pStyle w:val="BodyText"/>
        <w:rPr>
          <w:b/>
          <w:lang w:val="en-US"/>
        </w:rPr>
      </w:pPr>
      <w:r w:rsidRPr="000D1F6D">
        <w:rPr>
          <w:lang w:val="en-US"/>
        </w:rPr>
        <w:t xml:space="preserve">In </w:t>
      </w:r>
      <w:r w:rsidR="007729A2" w:rsidRPr="000D1F6D">
        <w:rPr>
          <w:lang w:val="en-US"/>
        </w:rPr>
        <w:t xml:space="preserve">the previous </w:t>
      </w:r>
      <w:r w:rsidRPr="000D1F6D">
        <w:rPr>
          <w:lang w:val="en-US"/>
        </w:rPr>
        <w:t>section</w:t>
      </w:r>
      <w:r w:rsidR="007729A2" w:rsidRPr="000D1F6D">
        <w:rPr>
          <w:lang w:val="en-US"/>
        </w:rPr>
        <w:t>s</w:t>
      </w:r>
      <w:r w:rsidRPr="000D1F6D">
        <w:rPr>
          <w:lang w:val="en-US"/>
        </w:rPr>
        <w:t xml:space="preserve"> we made the following observations:</w:t>
      </w:r>
      <w:r w:rsidR="00C93814" w:rsidRPr="000D1F6D">
        <w:rPr>
          <w:b/>
          <w:lang w:val="en-US"/>
        </w:rPr>
        <w:t xml:space="preserve"> </w:t>
      </w:r>
    </w:p>
    <w:p w14:paraId="50D3B26A" w14:textId="77777777" w:rsidR="006B02D5" w:rsidRDefault="006F65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\f O \n \h \z \t "Observation" \c </w:instrText>
      </w:r>
      <w:r w:rsidRPr="00A4369A">
        <w:rPr>
          <w:b w:val="0"/>
        </w:rPr>
        <w:fldChar w:fldCharType="separate"/>
      </w:r>
      <w:hyperlink w:anchor="_Toc68194373" w:history="1">
        <w:r w:rsidR="006B02D5" w:rsidRPr="00760AF1">
          <w:rPr>
            <w:rStyle w:val="Hyperlink"/>
            <w:noProof/>
            <w:lang w:val="en-US"/>
          </w:rPr>
          <w:t>Observation 1</w:t>
        </w:r>
        <w:r w:rsidR="006B02D5">
          <w:rPr>
            <w:rFonts w:asciiTheme="minorHAnsi" w:eastAsiaTheme="minorEastAsia" w:hAnsiTheme="minorHAnsi"/>
            <w:b w:val="0"/>
            <w:noProof/>
            <w:lang w:eastAsia="fi-FI"/>
          </w:rPr>
          <w:tab/>
        </w:r>
        <w:r w:rsidR="006B02D5" w:rsidRPr="00760AF1">
          <w:rPr>
            <w:rStyle w:val="Hyperlink"/>
            <w:noProof/>
            <w:lang w:val="en-US"/>
          </w:rPr>
          <w:t>For feeder and service link switches one cell/PCI is going to stop serving an area at a certain time.</w:t>
        </w:r>
      </w:hyperlink>
    </w:p>
    <w:p w14:paraId="64706140" w14:textId="77777777" w:rsidR="006B02D5" w:rsidRDefault="006B02D5">
      <w:pPr>
        <w:pStyle w:val="TableofFigures"/>
        <w:tabs>
          <w:tab w:val="right" w:leader="dot" w:pos="9629"/>
        </w:tabs>
        <w:rPr>
          <w:rFonts w:asciiTheme="minorHAnsi" w:eastAsiaTheme="minorEastAsia" w:hAnsiTheme="minorHAnsi"/>
          <w:b w:val="0"/>
          <w:noProof/>
          <w:lang w:eastAsia="fi-FI"/>
        </w:rPr>
      </w:pPr>
      <w:hyperlink w:anchor="_Toc68194374" w:history="1">
        <w:r w:rsidRPr="00760AF1">
          <w:rPr>
            <w:rStyle w:val="Hyperlink"/>
            <w:noProof/>
            <w:lang w:val="en-US"/>
          </w:rPr>
          <w:t>Observation 2</w:t>
        </w:r>
        <w:r>
          <w:rPr>
            <w:rFonts w:asciiTheme="minorHAnsi" w:eastAsiaTheme="minorEastAsia" w:hAnsiTheme="minorHAnsi"/>
            <w:b w:val="0"/>
            <w:noProof/>
            <w:lang w:eastAsia="fi-FI"/>
          </w:rPr>
          <w:tab/>
        </w:r>
        <w:r w:rsidRPr="00760AF1">
          <w:rPr>
            <w:rStyle w:val="Hyperlink"/>
            <w:noProof/>
            <w:lang w:val="en-US"/>
          </w:rPr>
          <w:t>The remaining time T</w:t>
        </w:r>
        <w:r w:rsidRPr="00760AF1">
          <w:rPr>
            <w:rStyle w:val="Hyperlink"/>
            <w:noProof/>
            <w:vertAlign w:val="subscript"/>
            <w:lang w:val="en-US"/>
          </w:rPr>
          <w:t>service</w:t>
        </w:r>
        <w:r w:rsidRPr="00760AF1">
          <w:rPr>
            <w:rStyle w:val="Hyperlink"/>
            <w:noProof/>
            <w:lang w:val="en-US"/>
          </w:rPr>
          <w:t xml:space="preserve"> until the cell/PCI is going to stop serving an area can be defined.</w:t>
        </w:r>
      </w:hyperlink>
    </w:p>
    <w:p w14:paraId="464FBECC" w14:textId="77777777" w:rsidR="006B02D5" w:rsidRDefault="006B02D5">
      <w:pPr>
        <w:pStyle w:val="TableofFigures"/>
        <w:tabs>
          <w:tab w:val="right" w:leader="dot" w:pos="9629"/>
        </w:tabs>
        <w:rPr>
          <w:rFonts w:asciiTheme="minorHAnsi" w:eastAsiaTheme="minorEastAsia" w:hAnsiTheme="minorHAnsi"/>
          <w:b w:val="0"/>
          <w:noProof/>
          <w:lang w:eastAsia="fi-FI"/>
        </w:rPr>
      </w:pPr>
      <w:hyperlink w:anchor="_Toc68194375" w:history="1">
        <w:r w:rsidRPr="00760AF1">
          <w:rPr>
            <w:rStyle w:val="Hyperlink"/>
            <w:noProof/>
            <w:lang w:val="en-US"/>
          </w:rPr>
          <w:t>Observation 3</w:t>
        </w:r>
        <w:r>
          <w:rPr>
            <w:rFonts w:asciiTheme="minorHAnsi" w:eastAsiaTheme="minorEastAsia" w:hAnsiTheme="minorHAnsi"/>
            <w:b w:val="0"/>
            <w:noProof/>
            <w:lang w:eastAsia="fi-FI"/>
          </w:rPr>
          <w:tab/>
        </w:r>
        <w:r w:rsidRPr="00760AF1">
          <w:rPr>
            <w:rStyle w:val="Hyperlink"/>
            <w:noProof/>
            <w:lang w:val="en-US"/>
          </w:rPr>
          <w:t>The location and RSRP are not enough to trigger cell selection for a UE that is in the center of the cell that is going to vanish</w:t>
        </w:r>
      </w:hyperlink>
    </w:p>
    <w:p w14:paraId="7C577D2F" w14:textId="77777777" w:rsidR="006B02D5" w:rsidRDefault="006B02D5">
      <w:pPr>
        <w:pStyle w:val="TableofFigures"/>
        <w:tabs>
          <w:tab w:val="right" w:leader="dot" w:pos="9629"/>
        </w:tabs>
        <w:rPr>
          <w:rFonts w:asciiTheme="minorHAnsi" w:eastAsiaTheme="minorEastAsia" w:hAnsiTheme="minorHAnsi"/>
          <w:b w:val="0"/>
          <w:noProof/>
          <w:lang w:eastAsia="fi-FI"/>
        </w:rPr>
      </w:pPr>
      <w:hyperlink w:anchor="_Toc68194376" w:history="1">
        <w:r w:rsidRPr="00760AF1">
          <w:rPr>
            <w:rStyle w:val="Hyperlink"/>
            <w:noProof/>
            <w:lang w:val="en-US"/>
          </w:rPr>
          <w:t>Observation 4</w:t>
        </w:r>
        <w:r>
          <w:rPr>
            <w:rFonts w:asciiTheme="minorHAnsi" w:eastAsiaTheme="minorEastAsia" w:hAnsiTheme="minorHAnsi"/>
            <w:b w:val="0"/>
            <w:noProof/>
            <w:lang w:eastAsia="fi-FI"/>
          </w:rPr>
          <w:tab/>
        </w:r>
        <w:r w:rsidRPr="00760AF1">
          <w:rPr>
            <w:rStyle w:val="Hyperlink"/>
            <w:noProof/>
            <w:lang w:val="en-US"/>
          </w:rPr>
          <w:t>The location and RSRP are not enough to trigger cell selection for a UE that is in the center of the cell that is going to vanish</w:t>
        </w:r>
      </w:hyperlink>
    </w:p>
    <w:p w14:paraId="3A82D5E6" w14:textId="436A758D" w:rsidR="006E1C82" w:rsidRPr="000D1F6D" w:rsidRDefault="006F6582" w:rsidP="006E1C82">
      <w:pPr>
        <w:pStyle w:val="BodyText"/>
        <w:rPr>
          <w:lang w:val="en-US"/>
        </w:rPr>
      </w:pPr>
      <w:r w:rsidRPr="00A4369A">
        <w:rPr>
          <w:b/>
        </w:rPr>
        <w:fldChar w:fldCharType="end"/>
      </w:r>
      <w:r w:rsidR="008E065E" w:rsidRPr="000D1F6D">
        <w:rPr>
          <w:lang w:val="en-US"/>
        </w:rPr>
        <w:t xml:space="preserve">Based on the discussion in </w:t>
      </w:r>
      <w:r w:rsidR="007729A2" w:rsidRPr="000D1F6D">
        <w:rPr>
          <w:lang w:val="en-US"/>
        </w:rPr>
        <w:t xml:space="preserve">the previous </w:t>
      </w:r>
      <w:r w:rsidR="008E065E" w:rsidRPr="000D1F6D">
        <w:rPr>
          <w:lang w:val="en-US"/>
        </w:rPr>
        <w:t>section</w:t>
      </w:r>
      <w:r w:rsidR="007729A2" w:rsidRPr="000D1F6D">
        <w:rPr>
          <w:lang w:val="en-US"/>
        </w:rPr>
        <w:t>s</w:t>
      </w:r>
      <w:r w:rsidR="008E065E" w:rsidRPr="000D1F6D">
        <w:rPr>
          <w:lang w:val="en-US"/>
        </w:rPr>
        <w:t xml:space="preserve"> we propose the following:</w:t>
      </w:r>
    </w:p>
    <w:p w14:paraId="538890EE" w14:textId="77777777" w:rsidR="006B02D5" w:rsidRDefault="006E1C82">
      <w:pPr>
        <w:pStyle w:val="TableofFigures"/>
        <w:tabs>
          <w:tab w:val="right" w:leader="dot" w:pos="9629"/>
        </w:tabs>
        <w:rPr>
          <w:rFonts w:asciiTheme="minorHAnsi" w:eastAsiaTheme="minorEastAsia" w:hAnsiTheme="minorHAnsi"/>
          <w:b w:val="0"/>
          <w:noProof/>
          <w:lang w:eastAsia="fi-FI"/>
        </w:rPr>
      </w:pPr>
      <w:r w:rsidRPr="00A4369A">
        <w:rPr>
          <w:b w:val="0"/>
        </w:rPr>
        <w:fldChar w:fldCharType="begin"/>
      </w:r>
      <w:r w:rsidRPr="00A4369A">
        <w:rPr>
          <w:b w:val="0"/>
        </w:rPr>
        <w:instrText xml:space="preserve"> TOC \n \h \z \t "Proposal" \c </w:instrText>
      </w:r>
      <w:r w:rsidRPr="00A4369A">
        <w:rPr>
          <w:b w:val="0"/>
        </w:rPr>
        <w:fldChar w:fldCharType="separate"/>
      </w:r>
      <w:hyperlink w:anchor="_Toc68194377" w:history="1">
        <w:r w:rsidR="006B02D5" w:rsidRPr="00577ED6">
          <w:rPr>
            <w:rStyle w:val="Hyperlink"/>
            <w:noProof/>
            <w:lang w:val="en-US"/>
          </w:rPr>
          <w:t>Proposal 1</w:t>
        </w:r>
        <w:r w:rsidR="006B02D5">
          <w:rPr>
            <w:rFonts w:asciiTheme="minorHAnsi" w:eastAsiaTheme="minorEastAsia" w:hAnsiTheme="minorHAnsi"/>
            <w:b w:val="0"/>
            <w:noProof/>
            <w:lang w:eastAsia="fi-FI"/>
          </w:rPr>
          <w:tab/>
        </w:r>
        <w:r w:rsidR="006B02D5" w:rsidRPr="00577ED6">
          <w:rPr>
            <w:rStyle w:val="Hyperlink"/>
            <w:noProof/>
            <w:lang w:val="en-US"/>
          </w:rPr>
          <w:t>RAN2 should take the Tservice into account for cell selection and reselection</w:t>
        </w:r>
      </w:hyperlink>
    </w:p>
    <w:p w14:paraId="392CCA2F" w14:textId="77777777" w:rsidR="006B02D5" w:rsidRDefault="006B02D5">
      <w:pPr>
        <w:pStyle w:val="TableofFigures"/>
        <w:tabs>
          <w:tab w:val="right" w:leader="dot" w:pos="9629"/>
        </w:tabs>
        <w:rPr>
          <w:rFonts w:asciiTheme="minorHAnsi" w:eastAsiaTheme="minorEastAsia" w:hAnsiTheme="minorHAnsi"/>
          <w:b w:val="0"/>
          <w:noProof/>
          <w:lang w:eastAsia="fi-FI"/>
        </w:rPr>
      </w:pPr>
      <w:hyperlink w:anchor="_Toc68194378" w:history="1">
        <w:r w:rsidRPr="00577ED6">
          <w:rPr>
            <w:rStyle w:val="Hyperlink"/>
            <w:noProof/>
            <w:lang w:val="en-US"/>
          </w:rPr>
          <w:t>Proposal 2</w:t>
        </w:r>
        <w:r>
          <w:rPr>
            <w:rFonts w:asciiTheme="minorHAnsi" w:eastAsiaTheme="minorEastAsia" w:hAnsiTheme="minorHAnsi"/>
            <w:b w:val="0"/>
            <w:noProof/>
            <w:lang w:eastAsia="fi-FI"/>
          </w:rPr>
          <w:tab/>
        </w:r>
        <w:r w:rsidRPr="00577ED6">
          <w:rPr>
            <w:rStyle w:val="Hyperlink"/>
            <w:noProof/>
            <w:lang w:val="en-US"/>
          </w:rPr>
          <w:t>RAN2 should take the Tservice into account for the idle mode measurement rules.</w:t>
        </w:r>
      </w:hyperlink>
    </w:p>
    <w:p w14:paraId="26EBCCF9" w14:textId="0655511B" w:rsidR="00C01F33" w:rsidRPr="00A4369A" w:rsidRDefault="006E1C82" w:rsidP="009C2D28">
      <w:pPr>
        <w:pStyle w:val="BodyText"/>
        <w:rPr>
          <w:b/>
        </w:rPr>
      </w:pPr>
      <w:r w:rsidRPr="00A4369A">
        <w:rPr>
          <w:b/>
        </w:rPr>
        <w:fldChar w:fldCharType="end"/>
      </w:r>
      <w:r w:rsidRPr="00A4369A">
        <w:rPr>
          <w:b/>
        </w:rPr>
        <w:t xml:space="preserve"> </w:t>
      </w:r>
    </w:p>
    <w:p w14:paraId="3F23459F" w14:textId="77777777" w:rsidR="00F507D1" w:rsidRPr="00A4369A" w:rsidRDefault="00F507D1" w:rsidP="00CE0424">
      <w:pPr>
        <w:pStyle w:val="Heading1"/>
        <w:rPr>
          <w:lang w:val="en-US"/>
        </w:rPr>
      </w:pPr>
      <w:bookmarkStart w:id="18" w:name="_In-sequence_SDU_delivery"/>
      <w:bookmarkEnd w:id="18"/>
      <w:r w:rsidRPr="00A4369A">
        <w:rPr>
          <w:lang w:val="en-US"/>
        </w:rPr>
        <w:t>References</w:t>
      </w:r>
    </w:p>
    <w:p w14:paraId="03BE2943" w14:textId="46612451" w:rsidR="003A7EF3" w:rsidRPr="000D1F6D" w:rsidRDefault="002A2A3F" w:rsidP="00CE0424">
      <w:pPr>
        <w:pStyle w:val="Reference"/>
        <w:rPr>
          <w:lang w:val="en-US"/>
        </w:rPr>
      </w:pPr>
      <w:bookmarkStart w:id="19" w:name="_Ref42716514"/>
      <w:bookmarkStart w:id="20" w:name="_Ref45286859"/>
      <w:bookmarkStart w:id="21" w:name="_Ref174151459"/>
      <w:bookmarkStart w:id="22" w:name="_Ref189809556"/>
      <w:r w:rsidRPr="000D1F6D">
        <w:rPr>
          <w:lang w:val="en-US"/>
        </w:rPr>
        <w:t>RP-</w:t>
      </w:r>
      <w:r w:rsidR="0015455E" w:rsidRPr="000D1F6D">
        <w:rPr>
          <w:lang w:val="en-US"/>
        </w:rPr>
        <w:t>201256</w:t>
      </w:r>
      <w:r w:rsidRPr="000D1F6D">
        <w:rPr>
          <w:lang w:val="en-US"/>
        </w:rPr>
        <w:t>, “</w:t>
      </w:r>
      <w:r w:rsidR="0015455E" w:rsidRPr="000D1F6D">
        <w:rPr>
          <w:rFonts w:eastAsia="Batang" w:cs="Arial"/>
          <w:lang w:val="en-US"/>
        </w:rPr>
        <w:t>Solutions for NR to support non-terrestrial networks (NTN)</w:t>
      </w:r>
      <w:r w:rsidR="002827FD" w:rsidRPr="000D1F6D">
        <w:rPr>
          <w:rFonts w:eastAsia="Batang" w:cs="Arial"/>
          <w:lang w:val="en-US"/>
        </w:rPr>
        <w:t>,</w:t>
      </w:r>
      <w:r w:rsidRPr="000D1F6D">
        <w:rPr>
          <w:lang w:val="en-US"/>
        </w:rPr>
        <w:t>” 3GPP TSG RAN #8</w:t>
      </w:r>
      <w:r w:rsidR="0015455E" w:rsidRPr="000D1F6D">
        <w:rPr>
          <w:lang w:val="en-US"/>
        </w:rPr>
        <w:t>8e</w:t>
      </w:r>
      <w:r w:rsidRPr="000D1F6D">
        <w:rPr>
          <w:lang w:val="en-US"/>
        </w:rPr>
        <w:t xml:space="preserve">, </w:t>
      </w:r>
      <w:r w:rsidR="0015455E" w:rsidRPr="000D1F6D">
        <w:rPr>
          <w:lang w:val="en-US"/>
        </w:rPr>
        <w:t>June</w:t>
      </w:r>
      <w:r w:rsidRPr="000D1F6D">
        <w:rPr>
          <w:lang w:val="en-US"/>
        </w:rPr>
        <w:t xml:space="preserve"> 20</w:t>
      </w:r>
      <w:bookmarkEnd w:id="19"/>
      <w:r w:rsidR="0015455E" w:rsidRPr="000D1F6D">
        <w:rPr>
          <w:lang w:val="en-US"/>
        </w:rPr>
        <w:t>20</w:t>
      </w:r>
      <w:r w:rsidR="004D4967" w:rsidRPr="000D1F6D">
        <w:rPr>
          <w:lang w:val="en-US"/>
        </w:rPr>
        <w:t>.</w:t>
      </w:r>
      <w:bookmarkEnd w:id="20"/>
      <w:bookmarkEnd w:id="21"/>
      <w:bookmarkEnd w:id="22"/>
    </w:p>
    <w:p w14:paraId="66DAF18B" w14:textId="16A26A18" w:rsidR="00E910B5" w:rsidRPr="00E910B5" w:rsidRDefault="000963FB" w:rsidP="00E910B5">
      <w:pPr>
        <w:pStyle w:val="Reference"/>
        <w:rPr>
          <w:lang w:val="en-US"/>
        </w:rPr>
      </w:pPr>
      <w:bookmarkStart w:id="23" w:name="_Ref45301066"/>
      <w:r w:rsidRPr="000D1F6D">
        <w:rPr>
          <w:lang w:val="en-US"/>
        </w:rPr>
        <w:t>TR 38.821, “Solutions for NR to support Non-Terrestrial Networks (NTN),” V16.0.0.</w:t>
      </w:r>
      <w:bookmarkEnd w:id="23"/>
    </w:p>
    <w:p w14:paraId="5F3F3E8D" w14:textId="4AC91E28" w:rsidR="000E65BB" w:rsidRPr="000D1F6D" w:rsidRDefault="000E65BB" w:rsidP="00BE1338">
      <w:pPr>
        <w:pStyle w:val="Reference"/>
        <w:rPr>
          <w:lang w:val="en-US"/>
        </w:rPr>
      </w:pPr>
      <w:bookmarkStart w:id="24" w:name="_Ref47613552"/>
      <w:r>
        <w:rPr>
          <w:lang w:val="en-US"/>
        </w:rPr>
        <w:lastRenderedPageBreak/>
        <w:t xml:space="preserve">TR 38.811, </w:t>
      </w:r>
      <w:r w:rsidR="000D546A">
        <w:rPr>
          <w:lang w:val="en-US"/>
        </w:rPr>
        <w:t>“</w:t>
      </w:r>
      <w:r w:rsidR="006D7248" w:rsidRPr="006D7248">
        <w:rPr>
          <w:lang w:val="en-US"/>
        </w:rPr>
        <w:t>Study on New Radio (NR) to support non-terrestrial networks</w:t>
      </w:r>
      <w:r w:rsidR="006D7248">
        <w:rPr>
          <w:lang w:val="en-US"/>
        </w:rPr>
        <w:t xml:space="preserve">,” </w:t>
      </w:r>
      <w:r w:rsidR="00DF1A3B">
        <w:rPr>
          <w:lang w:val="en-US"/>
        </w:rPr>
        <w:t>V15.3.0</w:t>
      </w:r>
      <w:bookmarkEnd w:id="24"/>
    </w:p>
    <w:p w14:paraId="6FCCDE27" w14:textId="3A8162E0" w:rsidR="000C5885" w:rsidRPr="00F3022D" w:rsidRDefault="000C5885" w:rsidP="00BE1338">
      <w:pPr>
        <w:pStyle w:val="Reference"/>
        <w:rPr>
          <w:lang w:val="en-US"/>
        </w:rPr>
      </w:pPr>
      <w:bookmarkStart w:id="25" w:name="_Ref47108504"/>
      <w:r w:rsidRPr="004B338D">
        <w:rPr>
          <w:lang w:val="en-US"/>
        </w:rPr>
        <w:t>R2-20</w:t>
      </w:r>
      <w:r w:rsidR="004B338D">
        <w:rPr>
          <w:lang w:val="en-US"/>
        </w:rPr>
        <w:t>07</w:t>
      </w:r>
      <w:r w:rsidR="00D57838">
        <w:rPr>
          <w:lang w:val="en-US"/>
        </w:rPr>
        <w:t>537</w:t>
      </w:r>
      <w:r w:rsidRPr="004B338D">
        <w:rPr>
          <w:lang w:val="en-US"/>
        </w:rPr>
        <w:t>, “NTN</w:t>
      </w:r>
      <w:r w:rsidRPr="00F3022D">
        <w:rPr>
          <w:lang w:val="en-US"/>
        </w:rPr>
        <w:t xml:space="preserve"> scope, scenarios, architecture, and requirements,” 3GPP TSG RAN WG2 Meeting #111, Ericsson, August 2020.</w:t>
      </w:r>
      <w:bookmarkEnd w:id="25"/>
      <w:r w:rsidRPr="00F3022D">
        <w:rPr>
          <w:lang w:val="en-US"/>
        </w:rPr>
        <w:t xml:space="preserve"> </w:t>
      </w:r>
    </w:p>
    <w:p w14:paraId="3A73DDF7" w14:textId="19955734" w:rsidR="00061005" w:rsidRPr="000021F7" w:rsidRDefault="00061005" w:rsidP="00502489">
      <w:pPr>
        <w:pStyle w:val="Reference"/>
        <w:rPr>
          <w:lang w:val="en-US"/>
        </w:rPr>
      </w:pPr>
      <w:bookmarkStart w:id="26" w:name="_Ref46319734"/>
      <w:r w:rsidRPr="000D1F6D">
        <w:rPr>
          <w:lang w:val="en-US"/>
        </w:rPr>
        <w:t xml:space="preserve">Aida, S., </w:t>
      </w:r>
      <w:proofErr w:type="spellStart"/>
      <w:r w:rsidRPr="000D1F6D">
        <w:rPr>
          <w:lang w:val="en-US"/>
        </w:rPr>
        <w:t>Patzelt</w:t>
      </w:r>
      <w:proofErr w:type="spellEnd"/>
      <w:r w:rsidRPr="000D1F6D">
        <w:rPr>
          <w:lang w:val="en-US"/>
        </w:rPr>
        <w:t xml:space="preserve">, T., </w:t>
      </w:r>
      <w:proofErr w:type="spellStart"/>
      <w:r w:rsidRPr="000D1F6D">
        <w:rPr>
          <w:lang w:val="en-US"/>
        </w:rPr>
        <w:t>Leushacke</w:t>
      </w:r>
      <w:proofErr w:type="spellEnd"/>
      <w:r w:rsidRPr="000D1F6D">
        <w:rPr>
          <w:lang w:val="en-US"/>
        </w:rPr>
        <w:t xml:space="preserve">, L., Kirschner, M., and </w:t>
      </w:r>
      <w:proofErr w:type="spellStart"/>
      <w:r w:rsidRPr="000D1F6D">
        <w:rPr>
          <w:lang w:val="en-US"/>
        </w:rPr>
        <w:t>Kiehling</w:t>
      </w:r>
      <w:proofErr w:type="spellEnd"/>
      <w:r w:rsidRPr="000D1F6D">
        <w:rPr>
          <w:lang w:val="en-US"/>
        </w:rPr>
        <w:t>, R., ‘Monitoring and Mitigation of Close Proximities in Low Earth Orbit’, 21</w:t>
      </w:r>
      <w:r w:rsidRPr="00F3022D">
        <w:rPr>
          <w:vertAlign w:val="superscript"/>
          <w:lang w:val="en-US"/>
        </w:rPr>
        <w:t>st</w:t>
      </w:r>
      <w:r w:rsidRPr="000D1F6D">
        <w:rPr>
          <w:lang w:val="en-US"/>
        </w:rPr>
        <w:t xml:space="preserve"> International Symposium on Space Flight Dynamics – 21st ISSFD, Toulouse, France, 2009</w:t>
      </w:r>
      <w:bookmarkEnd w:id="26"/>
      <w:r w:rsidR="000C5885" w:rsidRPr="000021F7">
        <w:rPr>
          <w:lang w:val="en-US"/>
        </w:rPr>
        <w:t>.</w:t>
      </w:r>
    </w:p>
    <w:p w14:paraId="3150524E" w14:textId="3BFA3E59" w:rsidR="00061005" w:rsidRDefault="00462994" w:rsidP="00502489">
      <w:pPr>
        <w:pStyle w:val="Reference"/>
        <w:rPr>
          <w:lang w:val="en-US"/>
        </w:rPr>
      </w:pPr>
      <w:bookmarkStart w:id="27" w:name="_Ref47351272"/>
      <w:r w:rsidRPr="000021F7">
        <w:rPr>
          <w:lang w:val="en-US"/>
        </w:rPr>
        <w:t>R1-2005502, “On UL time and frequency synchronization enhancements for NTN,” 3GPP TSG RAN WG1 Meeting #102, Ericsson, August 2020.</w:t>
      </w:r>
      <w:bookmarkEnd w:id="27"/>
    </w:p>
    <w:p w14:paraId="63379F61" w14:textId="4427077B" w:rsidR="00C768C7" w:rsidRPr="000D1F6D" w:rsidRDefault="00C768C7" w:rsidP="00502489">
      <w:pPr>
        <w:pStyle w:val="Reference"/>
        <w:rPr>
          <w:lang w:val="en-US"/>
        </w:rPr>
      </w:pPr>
      <w:bookmarkStart w:id="28" w:name="_Ref54011980"/>
      <w:r>
        <w:rPr>
          <w:lang w:val="en-US"/>
        </w:rPr>
        <w:t>R2-</w:t>
      </w:r>
      <w:r w:rsidR="002A1BEA">
        <w:rPr>
          <w:lang w:val="en-US"/>
        </w:rPr>
        <w:t>200</w:t>
      </w:r>
      <w:r w:rsidR="006711D7">
        <w:rPr>
          <w:lang w:val="en-US"/>
        </w:rPr>
        <w:t>98</w:t>
      </w:r>
      <w:r w:rsidR="00437C69">
        <w:rPr>
          <w:lang w:val="en-US"/>
        </w:rPr>
        <w:t>18</w:t>
      </w:r>
      <w:r w:rsidR="00F46946">
        <w:rPr>
          <w:lang w:val="en-US"/>
        </w:rPr>
        <w:t xml:space="preserve">, </w:t>
      </w:r>
      <w:r w:rsidR="001459C6">
        <w:rPr>
          <w:lang w:val="en-US"/>
        </w:rPr>
        <w:t>Idle mode for NTN, Ericsson</w:t>
      </w:r>
      <w:bookmarkEnd w:id="28"/>
      <w:r>
        <w:rPr>
          <w:lang w:val="en-US"/>
        </w:rPr>
        <w:t xml:space="preserve"> </w:t>
      </w:r>
    </w:p>
    <w:sectPr w:rsidR="00C768C7" w:rsidRPr="000D1F6D"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5AF7B" w14:textId="77777777" w:rsidR="00774B85" w:rsidRDefault="00774B85">
      <w:r>
        <w:separator/>
      </w:r>
    </w:p>
  </w:endnote>
  <w:endnote w:type="continuationSeparator" w:id="0">
    <w:p w14:paraId="318CF4C7" w14:textId="77777777" w:rsidR="00774B85" w:rsidRDefault="00774B85">
      <w:r>
        <w:continuationSeparator/>
      </w:r>
    </w:p>
  </w:endnote>
  <w:endnote w:type="continuationNotice" w:id="1">
    <w:p w14:paraId="537113F2" w14:textId="77777777" w:rsidR="00774B85" w:rsidRDefault="00774B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0C5885" w:rsidRDefault="000C58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07437E" w14:textId="77777777" w:rsidR="00774B85" w:rsidRDefault="00774B85">
      <w:r>
        <w:separator/>
      </w:r>
    </w:p>
  </w:footnote>
  <w:footnote w:type="continuationSeparator" w:id="0">
    <w:p w14:paraId="236BBFBD" w14:textId="77777777" w:rsidR="00774B85" w:rsidRDefault="00774B85">
      <w:r>
        <w:continuationSeparator/>
      </w:r>
    </w:p>
  </w:footnote>
  <w:footnote w:type="continuationNotice" w:id="1">
    <w:p w14:paraId="6FEBADAE" w14:textId="77777777" w:rsidR="00774B85" w:rsidRDefault="00774B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0C5885" w:rsidRDefault="000C58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9B20963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7A8CC62">
      <w:start w:val="1"/>
      <w:numFmt w:val="lowerRoman"/>
      <w:pStyle w:val="ListNumber3"/>
      <w:lvlText w:val="%1."/>
      <w:lvlJc w:val="right"/>
      <w:pPr>
        <w:ind w:left="926" w:hanging="360"/>
      </w:pPr>
    </w:lvl>
    <w:lvl w:ilvl="1" w:tplc="5AB4449A">
      <w:numFmt w:val="decimal"/>
      <w:lvlText w:val=""/>
      <w:lvlJc w:val="left"/>
    </w:lvl>
    <w:lvl w:ilvl="2" w:tplc="2BAA9A6C">
      <w:numFmt w:val="decimal"/>
      <w:lvlText w:val=""/>
      <w:lvlJc w:val="left"/>
    </w:lvl>
    <w:lvl w:ilvl="3" w:tplc="BD145AD4">
      <w:numFmt w:val="decimal"/>
      <w:lvlText w:val=""/>
      <w:lvlJc w:val="left"/>
    </w:lvl>
    <w:lvl w:ilvl="4" w:tplc="CDCC87E2">
      <w:numFmt w:val="decimal"/>
      <w:lvlText w:val=""/>
      <w:lvlJc w:val="left"/>
    </w:lvl>
    <w:lvl w:ilvl="5" w:tplc="7A14C7CC">
      <w:numFmt w:val="decimal"/>
      <w:lvlText w:val=""/>
      <w:lvlJc w:val="left"/>
    </w:lvl>
    <w:lvl w:ilvl="6" w:tplc="6A5A6DE2">
      <w:numFmt w:val="decimal"/>
      <w:lvlText w:val=""/>
      <w:lvlJc w:val="left"/>
    </w:lvl>
    <w:lvl w:ilvl="7" w:tplc="FFD053D0">
      <w:numFmt w:val="decimal"/>
      <w:lvlText w:val=""/>
      <w:lvlJc w:val="left"/>
    </w:lvl>
    <w:lvl w:ilvl="8" w:tplc="A7F4A964">
      <w:numFmt w:val="decimal"/>
      <w:lvlText w:val=""/>
      <w:lvlJc w:val="left"/>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C942F05"/>
    <w:multiLevelType w:val="hybridMultilevel"/>
    <w:tmpl w:val="FCEEB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BF3473"/>
    <w:multiLevelType w:val="hybridMultilevel"/>
    <w:tmpl w:val="7CB0022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6432EF"/>
    <w:multiLevelType w:val="multilevel"/>
    <w:tmpl w:val="72D03134"/>
    <w:lvl w:ilvl="0">
      <w:start w:val="1"/>
      <w:numFmt w:val="decimal"/>
      <w:lvlText w:val="%1"/>
      <w:lvlJc w:val="left"/>
      <w:pPr>
        <w:ind w:left="1500" w:hanging="11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B6E445D"/>
    <w:multiLevelType w:val="hybridMultilevel"/>
    <w:tmpl w:val="456CAACC"/>
    <w:lvl w:ilvl="0" w:tplc="BA3657D2">
      <w:start w:val="1"/>
      <w:numFmt w:val="decimal"/>
      <w:lvlText w:val="Proposal %1:"/>
      <w:lvlJc w:val="left"/>
      <w:pPr>
        <w:tabs>
          <w:tab w:val="num" w:pos="1304"/>
        </w:tabs>
        <w:ind w:left="1304" w:hanging="1304"/>
      </w:pPr>
      <w:rPr>
        <w:rFonts w:hint="default"/>
      </w:rPr>
    </w:lvl>
    <w:lvl w:ilvl="1" w:tplc="8DD81822">
      <w:start w:val="1"/>
      <w:numFmt w:val="lowerLetter"/>
      <w:lvlText w:val="%2."/>
      <w:lvlJc w:val="left"/>
      <w:pPr>
        <w:tabs>
          <w:tab w:val="num" w:pos="1440"/>
        </w:tabs>
        <w:ind w:left="1440" w:hanging="360"/>
      </w:pPr>
    </w:lvl>
    <w:lvl w:ilvl="2" w:tplc="2DEE48F2">
      <w:start w:val="1"/>
      <w:numFmt w:val="lowerRoman"/>
      <w:lvlText w:val="%3."/>
      <w:lvlJc w:val="right"/>
      <w:pPr>
        <w:tabs>
          <w:tab w:val="num" w:pos="2160"/>
        </w:tabs>
        <w:ind w:left="2160" w:hanging="180"/>
      </w:pPr>
    </w:lvl>
    <w:lvl w:ilvl="3" w:tplc="B9FA6568">
      <w:start w:val="1"/>
      <w:numFmt w:val="decimal"/>
      <w:lvlText w:val="%4."/>
      <w:lvlJc w:val="left"/>
      <w:pPr>
        <w:tabs>
          <w:tab w:val="num" w:pos="2880"/>
        </w:tabs>
        <w:ind w:left="2880" w:hanging="360"/>
      </w:pPr>
    </w:lvl>
    <w:lvl w:ilvl="4" w:tplc="DEDEA97C">
      <w:start w:val="1"/>
      <w:numFmt w:val="lowerLetter"/>
      <w:lvlText w:val="%5."/>
      <w:lvlJc w:val="left"/>
      <w:pPr>
        <w:tabs>
          <w:tab w:val="num" w:pos="3600"/>
        </w:tabs>
        <w:ind w:left="3600" w:hanging="360"/>
      </w:pPr>
    </w:lvl>
    <w:lvl w:ilvl="5" w:tplc="84D09F9A">
      <w:start w:val="1"/>
      <w:numFmt w:val="lowerRoman"/>
      <w:lvlText w:val="%6."/>
      <w:lvlJc w:val="right"/>
      <w:pPr>
        <w:tabs>
          <w:tab w:val="num" w:pos="4320"/>
        </w:tabs>
        <w:ind w:left="4320" w:hanging="180"/>
      </w:pPr>
    </w:lvl>
    <w:lvl w:ilvl="6" w:tplc="4D5C1CB0">
      <w:start w:val="1"/>
      <w:numFmt w:val="decimal"/>
      <w:lvlText w:val="%7."/>
      <w:lvlJc w:val="left"/>
      <w:pPr>
        <w:tabs>
          <w:tab w:val="num" w:pos="5040"/>
        </w:tabs>
        <w:ind w:left="5040" w:hanging="360"/>
      </w:pPr>
    </w:lvl>
    <w:lvl w:ilvl="7" w:tplc="F4588E50">
      <w:start w:val="1"/>
      <w:numFmt w:val="lowerLetter"/>
      <w:lvlText w:val="%8."/>
      <w:lvlJc w:val="left"/>
      <w:pPr>
        <w:tabs>
          <w:tab w:val="num" w:pos="5760"/>
        </w:tabs>
        <w:ind w:left="5760" w:hanging="360"/>
      </w:pPr>
    </w:lvl>
    <w:lvl w:ilvl="8" w:tplc="125CBCDA">
      <w:start w:val="1"/>
      <w:numFmt w:val="lowerRoman"/>
      <w:lvlText w:val="%9."/>
      <w:lvlJc w:val="right"/>
      <w:pPr>
        <w:tabs>
          <w:tab w:val="num" w:pos="6480"/>
        </w:tabs>
        <w:ind w:left="6480" w:hanging="180"/>
      </w:pPr>
    </w:lvl>
  </w:abstractNum>
  <w:abstractNum w:abstractNumId="18" w15:restartNumberingAfterBreak="0">
    <w:nsid w:val="2DAF3FFF"/>
    <w:multiLevelType w:val="hybridMultilevel"/>
    <w:tmpl w:val="46B632F2"/>
    <w:lvl w:ilvl="0" w:tplc="D68E855A">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7D158F"/>
    <w:multiLevelType w:val="multilevel"/>
    <w:tmpl w:val="3A7D15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1936E3B"/>
    <w:multiLevelType w:val="hybridMultilevel"/>
    <w:tmpl w:val="C380B1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0548F7"/>
    <w:multiLevelType w:val="hybridMultilevel"/>
    <w:tmpl w:val="F146A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BA2D66"/>
    <w:multiLevelType w:val="hybridMultilevel"/>
    <w:tmpl w:val="A4502544"/>
    <w:lvl w:ilvl="0" w:tplc="040B0001">
      <w:start w:val="1"/>
      <w:numFmt w:val="bullet"/>
      <w:lvlText w:val=""/>
      <w:lvlJc w:val="left"/>
      <w:pPr>
        <w:ind w:left="780" w:hanging="360"/>
      </w:pPr>
      <w:rPr>
        <w:rFonts w:ascii="Symbol" w:hAnsi="Symbol" w:hint="default"/>
      </w:rPr>
    </w:lvl>
    <w:lvl w:ilvl="1" w:tplc="040B0003">
      <w:start w:val="1"/>
      <w:numFmt w:val="bullet"/>
      <w:lvlText w:val="o"/>
      <w:lvlJc w:val="left"/>
      <w:pPr>
        <w:ind w:left="1500" w:hanging="360"/>
      </w:pPr>
      <w:rPr>
        <w:rFonts w:ascii="Courier New" w:hAnsi="Courier New" w:cs="Courier New" w:hint="default"/>
      </w:rPr>
    </w:lvl>
    <w:lvl w:ilvl="2" w:tplc="040B0005">
      <w:start w:val="1"/>
      <w:numFmt w:val="bullet"/>
      <w:lvlText w:val=""/>
      <w:lvlJc w:val="left"/>
      <w:pPr>
        <w:ind w:left="2220" w:hanging="360"/>
      </w:pPr>
      <w:rPr>
        <w:rFonts w:ascii="Wingdings" w:hAnsi="Wingdings" w:hint="default"/>
      </w:rPr>
    </w:lvl>
    <w:lvl w:ilvl="3" w:tplc="040B0001" w:tentative="1">
      <w:start w:val="1"/>
      <w:numFmt w:val="bullet"/>
      <w:lvlText w:val=""/>
      <w:lvlJc w:val="left"/>
      <w:pPr>
        <w:ind w:left="2940" w:hanging="360"/>
      </w:pPr>
      <w:rPr>
        <w:rFonts w:ascii="Symbol" w:hAnsi="Symbol" w:hint="default"/>
      </w:rPr>
    </w:lvl>
    <w:lvl w:ilvl="4" w:tplc="040B0003" w:tentative="1">
      <w:start w:val="1"/>
      <w:numFmt w:val="bullet"/>
      <w:lvlText w:val="o"/>
      <w:lvlJc w:val="left"/>
      <w:pPr>
        <w:ind w:left="3660" w:hanging="360"/>
      </w:pPr>
      <w:rPr>
        <w:rFonts w:ascii="Courier New" w:hAnsi="Courier New" w:cs="Courier New" w:hint="default"/>
      </w:rPr>
    </w:lvl>
    <w:lvl w:ilvl="5" w:tplc="040B0005" w:tentative="1">
      <w:start w:val="1"/>
      <w:numFmt w:val="bullet"/>
      <w:lvlText w:val=""/>
      <w:lvlJc w:val="left"/>
      <w:pPr>
        <w:ind w:left="4380" w:hanging="360"/>
      </w:pPr>
      <w:rPr>
        <w:rFonts w:ascii="Wingdings" w:hAnsi="Wingdings" w:hint="default"/>
      </w:rPr>
    </w:lvl>
    <w:lvl w:ilvl="6" w:tplc="040B0001" w:tentative="1">
      <w:start w:val="1"/>
      <w:numFmt w:val="bullet"/>
      <w:lvlText w:val=""/>
      <w:lvlJc w:val="left"/>
      <w:pPr>
        <w:ind w:left="5100" w:hanging="360"/>
      </w:pPr>
      <w:rPr>
        <w:rFonts w:ascii="Symbol" w:hAnsi="Symbol" w:hint="default"/>
      </w:rPr>
    </w:lvl>
    <w:lvl w:ilvl="7" w:tplc="040B0003" w:tentative="1">
      <w:start w:val="1"/>
      <w:numFmt w:val="bullet"/>
      <w:lvlText w:val="o"/>
      <w:lvlJc w:val="left"/>
      <w:pPr>
        <w:ind w:left="5820" w:hanging="360"/>
      </w:pPr>
      <w:rPr>
        <w:rFonts w:ascii="Courier New" w:hAnsi="Courier New" w:cs="Courier New" w:hint="default"/>
      </w:rPr>
    </w:lvl>
    <w:lvl w:ilvl="8" w:tplc="040B0005" w:tentative="1">
      <w:start w:val="1"/>
      <w:numFmt w:val="bullet"/>
      <w:lvlText w:val=""/>
      <w:lvlJc w:val="left"/>
      <w:pPr>
        <w:ind w:left="654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575996"/>
    <w:multiLevelType w:val="hybridMultilevel"/>
    <w:tmpl w:val="BBF88D36"/>
    <w:lvl w:ilvl="0" w:tplc="F9608C9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F6632B8"/>
    <w:multiLevelType w:val="hybridMultilevel"/>
    <w:tmpl w:val="05BAEF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A270CC"/>
    <w:multiLevelType w:val="hybridMultilevel"/>
    <w:tmpl w:val="DD5A818E"/>
    <w:lvl w:ilvl="0" w:tplc="FAF2BA3A">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4744605"/>
    <w:multiLevelType w:val="multilevel"/>
    <w:tmpl w:val="72D03134"/>
    <w:lvl w:ilvl="0">
      <w:start w:val="1"/>
      <w:numFmt w:val="decimal"/>
      <w:lvlText w:val="%1"/>
      <w:lvlJc w:val="left"/>
      <w:pPr>
        <w:ind w:left="1500" w:hanging="11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9656DA6"/>
    <w:multiLevelType w:val="hybridMultilevel"/>
    <w:tmpl w:val="400C9782"/>
    <w:lvl w:ilvl="0" w:tplc="4120C56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23"/>
  </w:num>
  <w:num w:numId="4">
    <w:abstractNumId w:val="25"/>
  </w:num>
  <w:num w:numId="5">
    <w:abstractNumId w:val="19"/>
  </w:num>
  <w:num w:numId="6">
    <w:abstractNumId w:val="28"/>
  </w:num>
  <w:num w:numId="7">
    <w:abstractNumId w:val="37"/>
  </w:num>
  <w:num w:numId="8">
    <w:abstractNumId w:val="20"/>
  </w:num>
  <w:num w:numId="9">
    <w:abstractNumId w:val="17"/>
  </w:num>
  <w:num w:numId="10">
    <w:abstractNumId w:val="2"/>
  </w:num>
  <w:num w:numId="11">
    <w:abstractNumId w:val="1"/>
  </w:num>
  <w:num w:numId="12">
    <w:abstractNumId w:val="0"/>
  </w:num>
  <w:num w:numId="13">
    <w:abstractNumId w:val="35"/>
  </w:num>
  <w:num w:numId="14">
    <w:abstractNumId w:val="36"/>
  </w:num>
  <w:num w:numId="15">
    <w:abstractNumId w:val="26"/>
  </w:num>
  <w:num w:numId="16">
    <w:abstractNumId w:val="38"/>
  </w:num>
  <w:num w:numId="17">
    <w:abstractNumId w:val="14"/>
  </w:num>
  <w:num w:numId="18">
    <w:abstractNumId w:val="15"/>
  </w:num>
  <w:num w:numId="19">
    <w:abstractNumId w:val="8"/>
  </w:num>
  <w:num w:numId="20">
    <w:abstractNumId w:val="43"/>
  </w:num>
  <w:num w:numId="21">
    <w:abstractNumId w:val="21"/>
  </w:num>
  <w:num w:numId="22">
    <w:abstractNumId w:val="40"/>
  </w:num>
  <w:num w:numId="23">
    <w:abstractNumId w:val="9"/>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39"/>
  </w:num>
  <w:num w:numId="27">
    <w:abstractNumId w:val="3"/>
  </w:num>
  <w:num w:numId="28">
    <w:abstractNumId w:val="4"/>
  </w:num>
  <w:num w:numId="29">
    <w:abstractNumId w:val="32"/>
  </w:num>
  <w:num w:numId="30">
    <w:abstractNumId w:val="7"/>
  </w:num>
  <w:num w:numId="31">
    <w:abstractNumId w:val="44"/>
  </w:num>
  <w:num w:numId="32">
    <w:abstractNumId w:val="13"/>
  </w:num>
  <w:num w:numId="33">
    <w:abstractNumId w:val="7"/>
  </w:num>
  <w:num w:numId="34">
    <w:abstractNumId w:val="33"/>
  </w:num>
  <w:num w:numId="35">
    <w:abstractNumId w:val="18"/>
  </w:num>
  <w:num w:numId="36">
    <w:abstractNumId w:val="27"/>
  </w:num>
  <w:num w:numId="37">
    <w:abstractNumId w:val="10"/>
  </w:num>
  <w:num w:numId="38">
    <w:abstractNumId w:val="42"/>
  </w:num>
  <w:num w:numId="39">
    <w:abstractNumId w:val="12"/>
  </w:num>
  <w:num w:numId="40">
    <w:abstractNumId w:val="6"/>
  </w:num>
  <w:num w:numId="41">
    <w:abstractNumId w:val="34"/>
  </w:num>
  <w:num w:numId="42">
    <w:abstractNumId w:val="30"/>
  </w:num>
  <w:num w:numId="43">
    <w:abstractNumId w:val="41"/>
  </w:num>
  <w:num w:numId="44">
    <w:abstractNumId w:val="22"/>
  </w:num>
  <w:num w:numId="45">
    <w:abstractNumId w:val="29"/>
  </w:num>
  <w:num w:numId="46">
    <w:abstractNumId w:val="24"/>
  </w:num>
  <w:num w:numId="4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1F7"/>
    <w:rsid w:val="00002A37"/>
    <w:rsid w:val="0000564C"/>
    <w:rsid w:val="0000575F"/>
    <w:rsid w:val="000062F7"/>
    <w:rsid w:val="00006446"/>
    <w:rsid w:val="00006896"/>
    <w:rsid w:val="000068E2"/>
    <w:rsid w:val="000071EC"/>
    <w:rsid w:val="00007CDC"/>
    <w:rsid w:val="00011B28"/>
    <w:rsid w:val="00013EB6"/>
    <w:rsid w:val="0001439D"/>
    <w:rsid w:val="00015D15"/>
    <w:rsid w:val="00016A18"/>
    <w:rsid w:val="0001789D"/>
    <w:rsid w:val="00021CC0"/>
    <w:rsid w:val="00023715"/>
    <w:rsid w:val="0002564D"/>
    <w:rsid w:val="00025ECA"/>
    <w:rsid w:val="00025F4A"/>
    <w:rsid w:val="000312F8"/>
    <w:rsid w:val="00031E93"/>
    <w:rsid w:val="000325B8"/>
    <w:rsid w:val="00033139"/>
    <w:rsid w:val="000332FF"/>
    <w:rsid w:val="0003332F"/>
    <w:rsid w:val="000349C2"/>
    <w:rsid w:val="00034C15"/>
    <w:rsid w:val="00035A06"/>
    <w:rsid w:val="00035FAB"/>
    <w:rsid w:val="0003695C"/>
    <w:rsid w:val="00036BA1"/>
    <w:rsid w:val="00037FC4"/>
    <w:rsid w:val="0004165B"/>
    <w:rsid w:val="00041DFB"/>
    <w:rsid w:val="000422E2"/>
    <w:rsid w:val="00042F22"/>
    <w:rsid w:val="00042F4B"/>
    <w:rsid w:val="000444EF"/>
    <w:rsid w:val="00047284"/>
    <w:rsid w:val="00050FB3"/>
    <w:rsid w:val="0005122F"/>
    <w:rsid w:val="00052283"/>
    <w:rsid w:val="00052A07"/>
    <w:rsid w:val="00052C67"/>
    <w:rsid w:val="00052D1F"/>
    <w:rsid w:val="000532E7"/>
    <w:rsid w:val="000534E3"/>
    <w:rsid w:val="0005457D"/>
    <w:rsid w:val="0005606A"/>
    <w:rsid w:val="0005644C"/>
    <w:rsid w:val="00057117"/>
    <w:rsid w:val="00057834"/>
    <w:rsid w:val="00057ED7"/>
    <w:rsid w:val="000609A1"/>
    <w:rsid w:val="00061005"/>
    <w:rsid w:val="000616E7"/>
    <w:rsid w:val="000622B1"/>
    <w:rsid w:val="00062765"/>
    <w:rsid w:val="0006487E"/>
    <w:rsid w:val="00065E1A"/>
    <w:rsid w:val="00067140"/>
    <w:rsid w:val="00072253"/>
    <w:rsid w:val="00072345"/>
    <w:rsid w:val="0007439C"/>
    <w:rsid w:val="00076DE9"/>
    <w:rsid w:val="00077E5F"/>
    <w:rsid w:val="0008036A"/>
    <w:rsid w:val="0008070A"/>
    <w:rsid w:val="00081AE6"/>
    <w:rsid w:val="00081ECE"/>
    <w:rsid w:val="00082906"/>
    <w:rsid w:val="000847D5"/>
    <w:rsid w:val="000855EB"/>
    <w:rsid w:val="00085B52"/>
    <w:rsid w:val="000865D0"/>
    <w:rsid w:val="000866F2"/>
    <w:rsid w:val="0009009F"/>
    <w:rsid w:val="00090F62"/>
    <w:rsid w:val="00091557"/>
    <w:rsid w:val="000922B0"/>
    <w:rsid w:val="000924C1"/>
    <w:rsid w:val="000924F0"/>
    <w:rsid w:val="000928DD"/>
    <w:rsid w:val="00092A7A"/>
    <w:rsid w:val="00092AC1"/>
    <w:rsid w:val="00093474"/>
    <w:rsid w:val="00093538"/>
    <w:rsid w:val="000947DF"/>
    <w:rsid w:val="00094988"/>
    <w:rsid w:val="0009510F"/>
    <w:rsid w:val="0009521E"/>
    <w:rsid w:val="00095EAC"/>
    <w:rsid w:val="000963FB"/>
    <w:rsid w:val="0009799E"/>
    <w:rsid w:val="000A1B7B"/>
    <w:rsid w:val="000A1D4B"/>
    <w:rsid w:val="000A56F2"/>
    <w:rsid w:val="000A64C3"/>
    <w:rsid w:val="000B0295"/>
    <w:rsid w:val="000B1F7D"/>
    <w:rsid w:val="000B2719"/>
    <w:rsid w:val="000B3A8F"/>
    <w:rsid w:val="000B3C1E"/>
    <w:rsid w:val="000B4414"/>
    <w:rsid w:val="000B4AB9"/>
    <w:rsid w:val="000B58C3"/>
    <w:rsid w:val="000B61E9"/>
    <w:rsid w:val="000B6216"/>
    <w:rsid w:val="000B640F"/>
    <w:rsid w:val="000C09DB"/>
    <w:rsid w:val="000C0A56"/>
    <w:rsid w:val="000C165A"/>
    <w:rsid w:val="000C1D96"/>
    <w:rsid w:val="000C24D8"/>
    <w:rsid w:val="000C2B3E"/>
    <w:rsid w:val="000C2E19"/>
    <w:rsid w:val="000C395B"/>
    <w:rsid w:val="000C4FD3"/>
    <w:rsid w:val="000C5885"/>
    <w:rsid w:val="000C5BA1"/>
    <w:rsid w:val="000C7F06"/>
    <w:rsid w:val="000D05D1"/>
    <w:rsid w:val="000D0D07"/>
    <w:rsid w:val="000D1D44"/>
    <w:rsid w:val="000D1F6D"/>
    <w:rsid w:val="000D4797"/>
    <w:rsid w:val="000D546A"/>
    <w:rsid w:val="000D66C8"/>
    <w:rsid w:val="000D697C"/>
    <w:rsid w:val="000D746C"/>
    <w:rsid w:val="000D7567"/>
    <w:rsid w:val="000D7B21"/>
    <w:rsid w:val="000E0527"/>
    <w:rsid w:val="000E0FE9"/>
    <w:rsid w:val="000E12BA"/>
    <w:rsid w:val="000E136A"/>
    <w:rsid w:val="000E18BE"/>
    <w:rsid w:val="000E1E92"/>
    <w:rsid w:val="000E368D"/>
    <w:rsid w:val="000E39D4"/>
    <w:rsid w:val="000E525C"/>
    <w:rsid w:val="000E5C9F"/>
    <w:rsid w:val="000E65BB"/>
    <w:rsid w:val="000E79D9"/>
    <w:rsid w:val="000F06D6"/>
    <w:rsid w:val="000F08DE"/>
    <w:rsid w:val="000F0EB1"/>
    <w:rsid w:val="000F1106"/>
    <w:rsid w:val="000F242E"/>
    <w:rsid w:val="000F28C1"/>
    <w:rsid w:val="000F33EB"/>
    <w:rsid w:val="000F3BE9"/>
    <w:rsid w:val="000F3CBF"/>
    <w:rsid w:val="000F3F6C"/>
    <w:rsid w:val="000F6232"/>
    <w:rsid w:val="000F6DF3"/>
    <w:rsid w:val="000F7747"/>
    <w:rsid w:val="000F77BF"/>
    <w:rsid w:val="000F7F92"/>
    <w:rsid w:val="001004E9"/>
    <w:rsid w:val="001005FF"/>
    <w:rsid w:val="00100784"/>
    <w:rsid w:val="00100887"/>
    <w:rsid w:val="001011B7"/>
    <w:rsid w:val="00101C5C"/>
    <w:rsid w:val="00101D09"/>
    <w:rsid w:val="00102360"/>
    <w:rsid w:val="001051B7"/>
    <w:rsid w:val="0010547E"/>
    <w:rsid w:val="001062FB"/>
    <w:rsid w:val="001063E6"/>
    <w:rsid w:val="00106538"/>
    <w:rsid w:val="00107472"/>
    <w:rsid w:val="001107C1"/>
    <w:rsid w:val="001107FE"/>
    <w:rsid w:val="0011102D"/>
    <w:rsid w:val="00111071"/>
    <w:rsid w:val="00111616"/>
    <w:rsid w:val="00111975"/>
    <w:rsid w:val="00111D18"/>
    <w:rsid w:val="00113282"/>
    <w:rsid w:val="00113CF4"/>
    <w:rsid w:val="00114079"/>
    <w:rsid w:val="001153EA"/>
    <w:rsid w:val="00115643"/>
    <w:rsid w:val="00116765"/>
    <w:rsid w:val="00117A58"/>
    <w:rsid w:val="001219F5"/>
    <w:rsid w:val="00121A20"/>
    <w:rsid w:val="0012310B"/>
    <w:rsid w:val="0012377F"/>
    <w:rsid w:val="00124314"/>
    <w:rsid w:val="00126B4A"/>
    <w:rsid w:val="001278BB"/>
    <w:rsid w:val="001303C0"/>
    <w:rsid w:val="00132C49"/>
    <w:rsid w:val="00132EEE"/>
    <w:rsid w:val="00132FD0"/>
    <w:rsid w:val="001344C0"/>
    <w:rsid w:val="001346FA"/>
    <w:rsid w:val="00135252"/>
    <w:rsid w:val="00136248"/>
    <w:rsid w:val="00136493"/>
    <w:rsid w:val="0013675D"/>
    <w:rsid w:val="001367AC"/>
    <w:rsid w:val="001368BC"/>
    <w:rsid w:val="001374F7"/>
    <w:rsid w:val="00137AB5"/>
    <w:rsid w:val="00137F0B"/>
    <w:rsid w:val="0014245C"/>
    <w:rsid w:val="0014255F"/>
    <w:rsid w:val="001429C0"/>
    <w:rsid w:val="0014317A"/>
    <w:rsid w:val="00143241"/>
    <w:rsid w:val="00144A74"/>
    <w:rsid w:val="001459C6"/>
    <w:rsid w:val="0014763D"/>
    <w:rsid w:val="001476B0"/>
    <w:rsid w:val="00147C9F"/>
    <w:rsid w:val="00147ED4"/>
    <w:rsid w:val="0015021D"/>
    <w:rsid w:val="00150342"/>
    <w:rsid w:val="00151E23"/>
    <w:rsid w:val="001526E0"/>
    <w:rsid w:val="001538F0"/>
    <w:rsid w:val="0015455E"/>
    <w:rsid w:val="00154567"/>
    <w:rsid w:val="001551B5"/>
    <w:rsid w:val="00155631"/>
    <w:rsid w:val="001571D3"/>
    <w:rsid w:val="001615F0"/>
    <w:rsid w:val="001629AD"/>
    <w:rsid w:val="00162EE1"/>
    <w:rsid w:val="00163A41"/>
    <w:rsid w:val="0016588B"/>
    <w:rsid w:val="001659C1"/>
    <w:rsid w:val="001660E5"/>
    <w:rsid w:val="001661CA"/>
    <w:rsid w:val="00167829"/>
    <w:rsid w:val="00170DBE"/>
    <w:rsid w:val="00172AE0"/>
    <w:rsid w:val="00173A8E"/>
    <w:rsid w:val="001741B0"/>
    <w:rsid w:val="0017502C"/>
    <w:rsid w:val="001761C0"/>
    <w:rsid w:val="00177C20"/>
    <w:rsid w:val="0018084B"/>
    <w:rsid w:val="00180B7D"/>
    <w:rsid w:val="001810EC"/>
    <w:rsid w:val="0018143F"/>
    <w:rsid w:val="00181FF8"/>
    <w:rsid w:val="0018239B"/>
    <w:rsid w:val="00182515"/>
    <w:rsid w:val="00182ABA"/>
    <w:rsid w:val="0018533F"/>
    <w:rsid w:val="00186953"/>
    <w:rsid w:val="0019065F"/>
    <w:rsid w:val="00190A0B"/>
    <w:rsid w:val="00190AC1"/>
    <w:rsid w:val="00190C8A"/>
    <w:rsid w:val="00190DCE"/>
    <w:rsid w:val="001926D7"/>
    <w:rsid w:val="00192CCD"/>
    <w:rsid w:val="001932BB"/>
    <w:rsid w:val="0019341A"/>
    <w:rsid w:val="00193C41"/>
    <w:rsid w:val="00196F8E"/>
    <w:rsid w:val="00197243"/>
    <w:rsid w:val="00197DF9"/>
    <w:rsid w:val="001A14BF"/>
    <w:rsid w:val="001A179E"/>
    <w:rsid w:val="001A1949"/>
    <w:rsid w:val="001A1987"/>
    <w:rsid w:val="001A2564"/>
    <w:rsid w:val="001A3080"/>
    <w:rsid w:val="001A4E9A"/>
    <w:rsid w:val="001A52A1"/>
    <w:rsid w:val="001A6173"/>
    <w:rsid w:val="001A6CBA"/>
    <w:rsid w:val="001A7874"/>
    <w:rsid w:val="001A7B1D"/>
    <w:rsid w:val="001B0204"/>
    <w:rsid w:val="001B0D97"/>
    <w:rsid w:val="001B1DDC"/>
    <w:rsid w:val="001B2EE6"/>
    <w:rsid w:val="001B4D86"/>
    <w:rsid w:val="001B4ED0"/>
    <w:rsid w:val="001B5A5D"/>
    <w:rsid w:val="001B6359"/>
    <w:rsid w:val="001B6DC4"/>
    <w:rsid w:val="001B7838"/>
    <w:rsid w:val="001B7C44"/>
    <w:rsid w:val="001C10C8"/>
    <w:rsid w:val="001C16C0"/>
    <w:rsid w:val="001C1CE5"/>
    <w:rsid w:val="001C1DB6"/>
    <w:rsid w:val="001C2E1D"/>
    <w:rsid w:val="001C3D2A"/>
    <w:rsid w:val="001C404E"/>
    <w:rsid w:val="001C480A"/>
    <w:rsid w:val="001C6F29"/>
    <w:rsid w:val="001D0028"/>
    <w:rsid w:val="001D0568"/>
    <w:rsid w:val="001D32F8"/>
    <w:rsid w:val="001D4F52"/>
    <w:rsid w:val="001D51BA"/>
    <w:rsid w:val="001D53E7"/>
    <w:rsid w:val="001D55BD"/>
    <w:rsid w:val="001D5C7F"/>
    <w:rsid w:val="001D6342"/>
    <w:rsid w:val="001D6D53"/>
    <w:rsid w:val="001E05FA"/>
    <w:rsid w:val="001E0841"/>
    <w:rsid w:val="001E4BA8"/>
    <w:rsid w:val="001E58E2"/>
    <w:rsid w:val="001E5D91"/>
    <w:rsid w:val="001E5FD2"/>
    <w:rsid w:val="001E7AED"/>
    <w:rsid w:val="001F13A3"/>
    <w:rsid w:val="001F1E36"/>
    <w:rsid w:val="001F2C5D"/>
    <w:rsid w:val="001F2DE3"/>
    <w:rsid w:val="001F32F7"/>
    <w:rsid w:val="001F3916"/>
    <w:rsid w:val="001F473D"/>
    <w:rsid w:val="001F4D82"/>
    <w:rsid w:val="001F525C"/>
    <w:rsid w:val="001F54C5"/>
    <w:rsid w:val="001F662C"/>
    <w:rsid w:val="001F7074"/>
    <w:rsid w:val="00200490"/>
    <w:rsid w:val="0020176B"/>
    <w:rsid w:val="00201C64"/>
    <w:rsid w:val="00201F3A"/>
    <w:rsid w:val="00202F8D"/>
    <w:rsid w:val="00203F96"/>
    <w:rsid w:val="00204415"/>
    <w:rsid w:val="00205FF8"/>
    <w:rsid w:val="002069B2"/>
    <w:rsid w:val="00207FA3"/>
    <w:rsid w:val="00210760"/>
    <w:rsid w:val="0021083E"/>
    <w:rsid w:val="002108D4"/>
    <w:rsid w:val="00211707"/>
    <w:rsid w:val="0021187C"/>
    <w:rsid w:val="002144D0"/>
    <w:rsid w:val="00214DA8"/>
    <w:rsid w:val="002150BB"/>
    <w:rsid w:val="00215423"/>
    <w:rsid w:val="002158AC"/>
    <w:rsid w:val="002158FA"/>
    <w:rsid w:val="00220600"/>
    <w:rsid w:val="00221485"/>
    <w:rsid w:val="002224DB"/>
    <w:rsid w:val="00223FCB"/>
    <w:rsid w:val="00224841"/>
    <w:rsid w:val="00224AD1"/>
    <w:rsid w:val="002252C3"/>
    <w:rsid w:val="00225349"/>
    <w:rsid w:val="00225C54"/>
    <w:rsid w:val="0022715C"/>
    <w:rsid w:val="00227E40"/>
    <w:rsid w:val="00230765"/>
    <w:rsid w:val="00230D18"/>
    <w:rsid w:val="002319E4"/>
    <w:rsid w:val="0023293B"/>
    <w:rsid w:val="00232D35"/>
    <w:rsid w:val="00234C74"/>
    <w:rsid w:val="00235632"/>
    <w:rsid w:val="00235872"/>
    <w:rsid w:val="00235EF0"/>
    <w:rsid w:val="00237B2C"/>
    <w:rsid w:val="00240C3F"/>
    <w:rsid w:val="00241559"/>
    <w:rsid w:val="002429C6"/>
    <w:rsid w:val="002435B3"/>
    <w:rsid w:val="00244C22"/>
    <w:rsid w:val="002458EB"/>
    <w:rsid w:val="002500C8"/>
    <w:rsid w:val="0025084E"/>
    <w:rsid w:val="00250E8C"/>
    <w:rsid w:val="002514F6"/>
    <w:rsid w:val="00251C33"/>
    <w:rsid w:val="00252EAF"/>
    <w:rsid w:val="002541D1"/>
    <w:rsid w:val="00254D0F"/>
    <w:rsid w:val="00255E26"/>
    <w:rsid w:val="002561C7"/>
    <w:rsid w:val="00257543"/>
    <w:rsid w:val="00260E3B"/>
    <w:rsid w:val="002617E7"/>
    <w:rsid w:val="002620D7"/>
    <w:rsid w:val="002628DA"/>
    <w:rsid w:val="0026362E"/>
    <w:rsid w:val="00264228"/>
    <w:rsid w:val="00264334"/>
    <w:rsid w:val="0026473E"/>
    <w:rsid w:val="00264AAD"/>
    <w:rsid w:val="00265710"/>
    <w:rsid w:val="0026601C"/>
    <w:rsid w:val="00266214"/>
    <w:rsid w:val="00266446"/>
    <w:rsid w:val="002678EA"/>
    <w:rsid w:val="00267C83"/>
    <w:rsid w:val="00270ACC"/>
    <w:rsid w:val="0027144F"/>
    <w:rsid w:val="00271813"/>
    <w:rsid w:val="00271F3A"/>
    <w:rsid w:val="002727F5"/>
    <w:rsid w:val="00273278"/>
    <w:rsid w:val="002737F4"/>
    <w:rsid w:val="002759E0"/>
    <w:rsid w:val="002760FF"/>
    <w:rsid w:val="00276884"/>
    <w:rsid w:val="00277C4D"/>
    <w:rsid w:val="002805F5"/>
    <w:rsid w:val="00280751"/>
    <w:rsid w:val="00281087"/>
    <w:rsid w:val="00281E4D"/>
    <w:rsid w:val="002822BB"/>
    <w:rsid w:val="002824C1"/>
    <w:rsid w:val="002827FD"/>
    <w:rsid w:val="0028280A"/>
    <w:rsid w:val="0028441E"/>
    <w:rsid w:val="00286414"/>
    <w:rsid w:val="0028669E"/>
    <w:rsid w:val="00286ACD"/>
    <w:rsid w:val="00287838"/>
    <w:rsid w:val="002879DF"/>
    <w:rsid w:val="002907B5"/>
    <w:rsid w:val="00292AA1"/>
    <w:rsid w:val="00292EB7"/>
    <w:rsid w:val="00294424"/>
    <w:rsid w:val="00295D25"/>
    <w:rsid w:val="00295DBB"/>
    <w:rsid w:val="00296227"/>
    <w:rsid w:val="00296E84"/>
    <w:rsid w:val="00296F44"/>
    <w:rsid w:val="0029777D"/>
    <w:rsid w:val="002A055E"/>
    <w:rsid w:val="002A12FC"/>
    <w:rsid w:val="002A1B9A"/>
    <w:rsid w:val="002A1BEA"/>
    <w:rsid w:val="002A1D4E"/>
    <w:rsid w:val="002A2869"/>
    <w:rsid w:val="002A2945"/>
    <w:rsid w:val="002A2A3F"/>
    <w:rsid w:val="002A3A7C"/>
    <w:rsid w:val="002A3CE4"/>
    <w:rsid w:val="002A5984"/>
    <w:rsid w:val="002A7816"/>
    <w:rsid w:val="002B07B0"/>
    <w:rsid w:val="002B0CD6"/>
    <w:rsid w:val="002B0E2C"/>
    <w:rsid w:val="002B24D6"/>
    <w:rsid w:val="002B2566"/>
    <w:rsid w:val="002B3094"/>
    <w:rsid w:val="002B3DC1"/>
    <w:rsid w:val="002B571E"/>
    <w:rsid w:val="002C10DC"/>
    <w:rsid w:val="002C1632"/>
    <w:rsid w:val="002C2A2F"/>
    <w:rsid w:val="002C38FB"/>
    <w:rsid w:val="002C41E6"/>
    <w:rsid w:val="002C62DC"/>
    <w:rsid w:val="002C749C"/>
    <w:rsid w:val="002C75AD"/>
    <w:rsid w:val="002C7B43"/>
    <w:rsid w:val="002C7E2A"/>
    <w:rsid w:val="002D071A"/>
    <w:rsid w:val="002D0D34"/>
    <w:rsid w:val="002D3325"/>
    <w:rsid w:val="002D34B2"/>
    <w:rsid w:val="002D48B0"/>
    <w:rsid w:val="002D48DC"/>
    <w:rsid w:val="002D4922"/>
    <w:rsid w:val="002D55AA"/>
    <w:rsid w:val="002D5B37"/>
    <w:rsid w:val="002D740B"/>
    <w:rsid w:val="002D7637"/>
    <w:rsid w:val="002E17F2"/>
    <w:rsid w:val="002E31D8"/>
    <w:rsid w:val="002E4896"/>
    <w:rsid w:val="002E4A41"/>
    <w:rsid w:val="002E4DE4"/>
    <w:rsid w:val="002E5264"/>
    <w:rsid w:val="002E722F"/>
    <w:rsid w:val="002E7CAE"/>
    <w:rsid w:val="002F04BB"/>
    <w:rsid w:val="002F13E4"/>
    <w:rsid w:val="002F2771"/>
    <w:rsid w:val="002F282D"/>
    <w:rsid w:val="002F37A9"/>
    <w:rsid w:val="002F5B33"/>
    <w:rsid w:val="002F5B9D"/>
    <w:rsid w:val="002F7E08"/>
    <w:rsid w:val="00300357"/>
    <w:rsid w:val="00300E91"/>
    <w:rsid w:val="003014E5"/>
    <w:rsid w:val="003016D3"/>
    <w:rsid w:val="00301CDE"/>
    <w:rsid w:val="00301CE6"/>
    <w:rsid w:val="0030256B"/>
    <w:rsid w:val="003028E5"/>
    <w:rsid w:val="0030501F"/>
    <w:rsid w:val="00306286"/>
    <w:rsid w:val="0030731E"/>
    <w:rsid w:val="00307BA1"/>
    <w:rsid w:val="00311702"/>
    <w:rsid w:val="00311E82"/>
    <w:rsid w:val="003120ED"/>
    <w:rsid w:val="00313FD6"/>
    <w:rsid w:val="003143BD"/>
    <w:rsid w:val="00315336"/>
    <w:rsid w:val="00315363"/>
    <w:rsid w:val="00317574"/>
    <w:rsid w:val="00317A18"/>
    <w:rsid w:val="003203ED"/>
    <w:rsid w:val="0032084D"/>
    <w:rsid w:val="003208AE"/>
    <w:rsid w:val="00320C69"/>
    <w:rsid w:val="003221E4"/>
    <w:rsid w:val="00322C9F"/>
    <w:rsid w:val="00323122"/>
    <w:rsid w:val="00323FC8"/>
    <w:rsid w:val="00324C31"/>
    <w:rsid w:val="00324D23"/>
    <w:rsid w:val="003252B9"/>
    <w:rsid w:val="00325404"/>
    <w:rsid w:val="003272C9"/>
    <w:rsid w:val="003277A3"/>
    <w:rsid w:val="00327BAB"/>
    <w:rsid w:val="00331470"/>
    <w:rsid w:val="00331751"/>
    <w:rsid w:val="00332A33"/>
    <w:rsid w:val="00334579"/>
    <w:rsid w:val="00335858"/>
    <w:rsid w:val="00335FC7"/>
    <w:rsid w:val="00336222"/>
    <w:rsid w:val="00336BDA"/>
    <w:rsid w:val="003372C4"/>
    <w:rsid w:val="00341284"/>
    <w:rsid w:val="00342845"/>
    <w:rsid w:val="00342BD7"/>
    <w:rsid w:val="0034367C"/>
    <w:rsid w:val="003444D1"/>
    <w:rsid w:val="0034451C"/>
    <w:rsid w:val="00345FA5"/>
    <w:rsid w:val="003462A6"/>
    <w:rsid w:val="00346DB5"/>
    <w:rsid w:val="00347704"/>
    <w:rsid w:val="003477B1"/>
    <w:rsid w:val="003515CD"/>
    <w:rsid w:val="00351F7F"/>
    <w:rsid w:val="003538F3"/>
    <w:rsid w:val="00354D95"/>
    <w:rsid w:val="00355768"/>
    <w:rsid w:val="00355DAD"/>
    <w:rsid w:val="003561CE"/>
    <w:rsid w:val="00356ECA"/>
    <w:rsid w:val="00357380"/>
    <w:rsid w:val="003602D9"/>
    <w:rsid w:val="003604CE"/>
    <w:rsid w:val="003651C5"/>
    <w:rsid w:val="003655AB"/>
    <w:rsid w:val="00366CF4"/>
    <w:rsid w:val="00366E55"/>
    <w:rsid w:val="00367067"/>
    <w:rsid w:val="00370E47"/>
    <w:rsid w:val="00371048"/>
    <w:rsid w:val="00372A73"/>
    <w:rsid w:val="00372BCE"/>
    <w:rsid w:val="003742AC"/>
    <w:rsid w:val="00375F09"/>
    <w:rsid w:val="003763DB"/>
    <w:rsid w:val="003779B9"/>
    <w:rsid w:val="00377C92"/>
    <w:rsid w:val="00377CE1"/>
    <w:rsid w:val="0038042C"/>
    <w:rsid w:val="00382727"/>
    <w:rsid w:val="00382E0C"/>
    <w:rsid w:val="00383E8B"/>
    <w:rsid w:val="0038475A"/>
    <w:rsid w:val="00385BF0"/>
    <w:rsid w:val="00386ED4"/>
    <w:rsid w:val="00387CB3"/>
    <w:rsid w:val="00387DBE"/>
    <w:rsid w:val="003900C5"/>
    <w:rsid w:val="00390F33"/>
    <w:rsid w:val="003914BE"/>
    <w:rsid w:val="00391B03"/>
    <w:rsid w:val="00391F52"/>
    <w:rsid w:val="00393545"/>
    <w:rsid w:val="003939FF"/>
    <w:rsid w:val="003A02A1"/>
    <w:rsid w:val="003A2223"/>
    <w:rsid w:val="003A2A0F"/>
    <w:rsid w:val="003A43AC"/>
    <w:rsid w:val="003A45A1"/>
    <w:rsid w:val="003A5B0A"/>
    <w:rsid w:val="003A6592"/>
    <w:rsid w:val="003A6BAC"/>
    <w:rsid w:val="003A70A4"/>
    <w:rsid w:val="003A7EF3"/>
    <w:rsid w:val="003B159C"/>
    <w:rsid w:val="003B2A2B"/>
    <w:rsid w:val="003B303B"/>
    <w:rsid w:val="003B369F"/>
    <w:rsid w:val="003B36A3"/>
    <w:rsid w:val="003B4FED"/>
    <w:rsid w:val="003B64BB"/>
    <w:rsid w:val="003B77C8"/>
    <w:rsid w:val="003B7A40"/>
    <w:rsid w:val="003B7BF7"/>
    <w:rsid w:val="003B7FE5"/>
    <w:rsid w:val="003C11C8"/>
    <w:rsid w:val="003C1E5C"/>
    <w:rsid w:val="003C2702"/>
    <w:rsid w:val="003C2B17"/>
    <w:rsid w:val="003C2C75"/>
    <w:rsid w:val="003C32D1"/>
    <w:rsid w:val="003C37DB"/>
    <w:rsid w:val="003C5B74"/>
    <w:rsid w:val="003C6222"/>
    <w:rsid w:val="003C7806"/>
    <w:rsid w:val="003C785F"/>
    <w:rsid w:val="003D01DC"/>
    <w:rsid w:val="003D02AB"/>
    <w:rsid w:val="003D109F"/>
    <w:rsid w:val="003D1730"/>
    <w:rsid w:val="003D2478"/>
    <w:rsid w:val="003D3C45"/>
    <w:rsid w:val="003D576F"/>
    <w:rsid w:val="003D5832"/>
    <w:rsid w:val="003D5B1F"/>
    <w:rsid w:val="003D6E43"/>
    <w:rsid w:val="003E0336"/>
    <w:rsid w:val="003E056A"/>
    <w:rsid w:val="003E0C0C"/>
    <w:rsid w:val="003E15FA"/>
    <w:rsid w:val="003E2105"/>
    <w:rsid w:val="003E29C6"/>
    <w:rsid w:val="003E428E"/>
    <w:rsid w:val="003E55E4"/>
    <w:rsid w:val="003E5EDA"/>
    <w:rsid w:val="003E64F1"/>
    <w:rsid w:val="003E6FAD"/>
    <w:rsid w:val="003E74E3"/>
    <w:rsid w:val="003F05C7"/>
    <w:rsid w:val="003F2CD4"/>
    <w:rsid w:val="003F45A5"/>
    <w:rsid w:val="003F4722"/>
    <w:rsid w:val="003F558D"/>
    <w:rsid w:val="003F5875"/>
    <w:rsid w:val="003F5B06"/>
    <w:rsid w:val="003F6BBE"/>
    <w:rsid w:val="004000E8"/>
    <w:rsid w:val="0040082A"/>
    <w:rsid w:val="00402E2B"/>
    <w:rsid w:val="00403277"/>
    <w:rsid w:val="00403EE8"/>
    <w:rsid w:val="0040512B"/>
    <w:rsid w:val="00405BBE"/>
    <w:rsid w:val="00405CA5"/>
    <w:rsid w:val="004063CF"/>
    <w:rsid w:val="00407CD3"/>
    <w:rsid w:val="00410134"/>
    <w:rsid w:val="00410B72"/>
    <w:rsid w:val="00410B86"/>
    <w:rsid w:val="00410F18"/>
    <w:rsid w:val="00411E1E"/>
    <w:rsid w:val="0041263E"/>
    <w:rsid w:val="00413AAC"/>
    <w:rsid w:val="00413E92"/>
    <w:rsid w:val="00415C0A"/>
    <w:rsid w:val="004166BB"/>
    <w:rsid w:val="00416B2D"/>
    <w:rsid w:val="00416E4A"/>
    <w:rsid w:val="00420060"/>
    <w:rsid w:val="00421105"/>
    <w:rsid w:val="00421BA9"/>
    <w:rsid w:val="00422AA4"/>
    <w:rsid w:val="0042317D"/>
    <w:rsid w:val="004232CD"/>
    <w:rsid w:val="0042414C"/>
    <w:rsid w:val="00424178"/>
    <w:rsid w:val="004242F4"/>
    <w:rsid w:val="00427248"/>
    <w:rsid w:val="004276CE"/>
    <w:rsid w:val="00430A24"/>
    <w:rsid w:val="004360B1"/>
    <w:rsid w:val="0043646D"/>
    <w:rsid w:val="00437447"/>
    <w:rsid w:val="00437C69"/>
    <w:rsid w:val="00441A92"/>
    <w:rsid w:val="004431DC"/>
    <w:rsid w:val="00444F56"/>
    <w:rsid w:val="00445599"/>
    <w:rsid w:val="00446488"/>
    <w:rsid w:val="00446F0E"/>
    <w:rsid w:val="00447DCB"/>
    <w:rsid w:val="004501C6"/>
    <w:rsid w:val="004517AA"/>
    <w:rsid w:val="004522E3"/>
    <w:rsid w:val="00452CAC"/>
    <w:rsid w:val="00456F22"/>
    <w:rsid w:val="00456FBA"/>
    <w:rsid w:val="00457565"/>
    <w:rsid w:val="00457AFD"/>
    <w:rsid w:val="00457B71"/>
    <w:rsid w:val="00457D40"/>
    <w:rsid w:val="00460C9B"/>
    <w:rsid w:val="00460F4E"/>
    <w:rsid w:val="00462665"/>
    <w:rsid w:val="004628A6"/>
    <w:rsid w:val="00462994"/>
    <w:rsid w:val="00464689"/>
    <w:rsid w:val="00465A9A"/>
    <w:rsid w:val="00466688"/>
    <w:rsid w:val="004669E2"/>
    <w:rsid w:val="00467A58"/>
    <w:rsid w:val="00467BC6"/>
    <w:rsid w:val="00467CBE"/>
    <w:rsid w:val="00470A5C"/>
    <w:rsid w:val="00470C31"/>
    <w:rsid w:val="004710F2"/>
    <w:rsid w:val="004713FB"/>
    <w:rsid w:val="00471DE0"/>
    <w:rsid w:val="00473143"/>
    <w:rsid w:val="004734D0"/>
    <w:rsid w:val="00473F46"/>
    <w:rsid w:val="004750BA"/>
    <w:rsid w:val="00475125"/>
    <w:rsid w:val="0047556B"/>
    <w:rsid w:val="004756B9"/>
    <w:rsid w:val="00475F0F"/>
    <w:rsid w:val="00476D8D"/>
    <w:rsid w:val="00477768"/>
    <w:rsid w:val="00480233"/>
    <w:rsid w:val="004808C3"/>
    <w:rsid w:val="00482E2D"/>
    <w:rsid w:val="00482F25"/>
    <w:rsid w:val="0048440B"/>
    <w:rsid w:val="004857AB"/>
    <w:rsid w:val="00485D6D"/>
    <w:rsid w:val="00487A8D"/>
    <w:rsid w:val="004914B0"/>
    <w:rsid w:val="00492BC5"/>
    <w:rsid w:val="00492D0C"/>
    <w:rsid w:val="00492FF2"/>
    <w:rsid w:val="0049396D"/>
    <w:rsid w:val="004964F1"/>
    <w:rsid w:val="004A16BC"/>
    <w:rsid w:val="004A2B7F"/>
    <w:rsid w:val="004A2B94"/>
    <w:rsid w:val="004A4A31"/>
    <w:rsid w:val="004A4FCA"/>
    <w:rsid w:val="004A54A0"/>
    <w:rsid w:val="004A7880"/>
    <w:rsid w:val="004A7D54"/>
    <w:rsid w:val="004B1975"/>
    <w:rsid w:val="004B338D"/>
    <w:rsid w:val="004B4371"/>
    <w:rsid w:val="004B4D40"/>
    <w:rsid w:val="004B5398"/>
    <w:rsid w:val="004B5CCE"/>
    <w:rsid w:val="004B6357"/>
    <w:rsid w:val="004B6F6A"/>
    <w:rsid w:val="004B7C0C"/>
    <w:rsid w:val="004C00C8"/>
    <w:rsid w:val="004C1572"/>
    <w:rsid w:val="004C17BD"/>
    <w:rsid w:val="004C1AFD"/>
    <w:rsid w:val="004C1F58"/>
    <w:rsid w:val="004C3898"/>
    <w:rsid w:val="004C6E44"/>
    <w:rsid w:val="004C7441"/>
    <w:rsid w:val="004D0A8E"/>
    <w:rsid w:val="004D1002"/>
    <w:rsid w:val="004D145C"/>
    <w:rsid w:val="004D1987"/>
    <w:rsid w:val="004D21A6"/>
    <w:rsid w:val="004D3032"/>
    <w:rsid w:val="004D36B1"/>
    <w:rsid w:val="004D3898"/>
    <w:rsid w:val="004D41BB"/>
    <w:rsid w:val="004D4967"/>
    <w:rsid w:val="004D50FF"/>
    <w:rsid w:val="004D74E6"/>
    <w:rsid w:val="004D7EBD"/>
    <w:rsid w:val="004E0AE3"/>
    <w:rsid w:val="004E14AF"/>
    <w:rsid w:val="004E14FC"/>
    <w:rsid w:val="004E223E"/>
    <w:rsid w:val="004E23BF"/>
    <w:rsid w:val="004E2680"/>
    <w:rsid w:val="004E28F9"/>
    <w:rsid w:val="004E3BFB"/>
    <w:rsid w:val="004E462E"/>
    <w:rsid w:val="004E4875"/>
    <w:rsid w:val="004E53EC"/>
    <w:rsid w:val="004E56DC"/>
    <w:rsid w:val="004E58B5"/>
    <w:rsid w:val="004E5E3C"/>
    <w:rsid w:val="004E6890"/>
    <w:rsid w:val="004E6E10"/>
    <w:rsid w:val="004E72AC"/>
    <w:rsid w:val="004E76F4"/>
    <w:rsid w:val="004F0AD3"/>
    <w:rsid w:val="004F0B4E"/>
    <w:rsid w:val="004F0B6C"/>
    <w:rsid w:val="004F2078"/>
    <w:rsid w:val="004F341A"/>
    <w:rsid w:val="004F3EA0"/>
    <w:rsid w:val="004F40FB"/>
    <w:rsid w:val="004F4BC3"/>
    <w:rsid w:val="004F4DA3"/>
    <w:rsid w:val="004F7F15"/>
    <w:rsid w:val="0050137E"/>
    <w:rsid w:val="0050212F"/>
    <w:rsid w:val="00502489"/>
    <w:rsid w:val="0050480A"/>
    <w:rsid w:val="0050502B"/>
    <w:rsid w:val="00505D57"/>
    <w:rsid w:val="00506557"/>
    <w:rsid w:val="0050677A"/>
    <w:rsid w:val="005108D8"/>
    <w:rsid w:val="00510949"/>
    <w:rsid w:val="00510B0E"/>
    <w:rsid w:val="005116C9"/>
    <w:rsid w:val="005116F9"/>
    <w:rsid w:val="005121D0"/>
    <w:rsid w:val="00513986"/>
    <w:rsid w:val="00513FFA"/>
    <w:rsid w:val="005153A7"/>
    <w:rsid w:val="00515641"/>
    <w:rsid w:val="0051612B"/>
    <w:rsid w:val="00516785"/>
    <w:rsid w:val="00517309"/>
    <w:rsid w:val="00517D92"/>
    <w:rsid w:val="005201C9"/>
    <w:rsid w:val="0052070D"/>
    <w:rsid w:val="005218F2"/>
    <w:rsid w:val="005219CF"/>
    <w:rsid w:val="00521AC8"/>
    <w:rsid w:val="00521CFD"/>
    <w:rsid w:val="00522DD3"/>
    <w:rsid w:val="00522E92"/>
    <w:rsid w:val="00523AF7"/>
    <w:rsid w:val="005247FC"/>
    <w:rsid w:val="00524B16"/>
    <w:rsid w:val="00527B9C"/>
    <w:rsid w:val="00533946"/>
    <w:rsid w:val="00533BF0"/>
    <w:rsid w:val="00534B59"/>
    <w:rsid w:val="00534E04"/>
    <w:rsid w:val="00536759"/>
    <w:rsid w:val="00537C62"/>
    <w:rsid w:val="00542910"/>
    <w:rsid w:val="0054411E"/>
    <w:rsid w:val="00546970"/>
    <w:rsid w:val="00546D80"/>
    <w:rsid w:val="0054778F"/>
    <w:rsid w:val="00550A9E"/>
    <w:rsid w:val="00552790"/>
    <w:rsid w:val="00553466"/>
    <w:rsid w:val="00554E19"/>
    <w:rsid w:val="00555A0C"/>
    <w:rsid w:val="00557F9F"/>
    <w:rsid w:val="005600CD"/>
    <w:rsid w:val="0056121F"/>
    <w:rsid w:val="00561A8D"/>
    <w:rsid w:val="00562BE0"/>
    <w:rsid w:val="0056382C"/>
    <w:rsid w:val="00563A00"/>
    <w:rsid w:val="00564B5F"/>
    <w:rsid w:val="005653FB"/>
    <w:rsid w:val="005659D7"/>
    <w:rsid w:val="005666A3"/>
    <w:rsid w:val="00567F14"/>
    <w:rsid w:val="005715D4"/>
    <w:rsid w:val="00571944"/>
    <w:rsid w:val="00572505"/>
    <w:rsid w:val="00572CD0"/>
    <w:rsid w:val="00577EDF"/>
    <w:rsid w:val="00582809"/>
    <w:rsid w:val="0058626D"/>
    <w:rsid w:val="00587588"/>
    <w:rsid w:val="0058798C"/>
    <w:rsid w:val="005900FA"/>
    <w:rsid w:val="005935A4"/>
    <w:rsid w:val="00593654"/>
    <w:rsid w:val="005948C2"/>
    <w:rsid w:val="00594D82"/>
    <w:rsid w:val="00595DCA"/>
    <w:rsid w:val="00596880"/>
    <w:rsid w:val="0059689B"/>
    <w:rsid w:val="0059779B"/>
    <w:rsid w:val="00597A06"/>
    <w:rsid w:val="005A209A"/>
    <w:rsid w:val="005A2379"/>
    <w:rsid w:val="005A29FD"/>
    <w:rsid w:val="005A3D63"/>
    <w:rsid w:val="005A6410"/>
    <w:rsid w:val="005A662D"/>
    <w:rsid w:val="005B04B2"/>
    <w:rsid w:val="005B0C75"/>
    <w:rsid w:val="005B0EE1"/>
    <w:rsid w:val="005B1409"/>
    <w:rsid w:val="005B1A92"/>
    <w:rsid w:val="005B2FF0"/>
    <w:rsid w:val="005B35D7"/>
    <w:rsid w:val="005B392A"/>
    <w:rsid w:val="005B3AA3"/>
    <w:rsid w:val="005B536A"/>
    <w:rsid w:val="005B6F83"/>
    <w:rsid w:val="005C0B37"/>
    <w:rsid w:val="005C14FF"/>
    <w:rsid w:val="005C268C"/>
    <w:rsid w:val="005C2E7D"/>
    <w:rsid w:val="005C51EE"/>
    <w:rsid w:val="005C74FB"/>
    <w:rsid w:val="005D0437"/>
    <w:rsid w:val="005D1602"/>
    <w:rsid w:val="005D20E3"/>
    <w:rsid w:val="005D276F"/>
    <w:rsid w:val="005D3AB9"/>
    <w:rsid w:val="005D42FE"/>
    <w:rsid w:val="005D4F9A"/>
    <w:rsid w:val="005D6372"/>
    <w:rsid w:val="005D70B1"/>
    <w:rsid w:val="005E1238"/>
    <w:rsid w:val="005E149E"/>
    <w:rsid w:val="005E19C7"/>
    <w:rsid w:val="005E29D9"/>
    <w:rsid w:val="005E30F8"/>
    <w:rsid w:val="005E385F"/>
    <w:rsid w:val="005E46BA"/>
    <w:rsid w:val="005E5B81"/>
    <w:rsid w:val="005E5E14"/>
    <w:rsid w:val="005E6218"/>
    <w:rsid w:val="005E71B7"/>
    <w:rsid w:val="005E7E71"/>
    <w:rsid w:val="005F1727"/>
    <w:rsid w:val="005F2CB1"/>
    <w:rsid w:val="005F3025"/>
    <w:rsid w:val="005F4379"/>
    <w:rsid w:val="005F4B7A"/>
    <w:rsid w:val="005F4DE4"/>
    <w:rsid w:val="005F618C"/>
    <w:rsid w:val="005F70BD"/>
    <w:rsid w:val="005F728B"/>
    <w:rsid w:val="005F78FD"/>
    <w:rsid w:val="00601152"/>
    <w:rsid w:val="00601703"/>
    <w:rsid w:val="0060283C"/>
    <w:rsid w:val="006029B6"/>
    <w:rsid w:val="00602C0F"/>
    <w:rsid w:val="0060375B"/>
    <w:rsid w:val="00604F14"/>
    <w:rsid w:val="00606979"/>
    <w:rsid w:val="006070C7"/>
    <w:rsid w:val="00611289"/>
    <w:rsid w:val="00611B83"/>
    <w:rsid w:val="00613257"/>
    <w:rsid w:val="0061657A"/>
    <w:rsid w:val="006177E1"/>
    <w:rsid w:val="0061787A"/>
    <w:rsid w:val="00620A71"/>
    <w:rsid w:val="00620D80"/>
    <w:rsid w:val="006210BB"/>
    <w:rsid w:val="006234A6"/>
    <w:rsid w:val="00623BFB"/>
    <w:rsid w:val="006245EB"/>
    <w:rsid w:val="006247E5"/>
    <w:rsid w:val="006252DB"/>
    <w:rsid w:val="0062591E"/>
    <w:rsid w:val="00625D74"/>
    <w:rsid w:val="006279E0"/>
    <w:rsid w:val="00630001"/>
    <w:rsid w:val="00630FED"/>
    <w:rsid w:val="006311B3"/>
    <w:rsid w:val="006327F8"/>
    <w:rsid w:val="0063284C"/>
    <w:rsid w:val="0063321F"/>
    <w:rsid w:val="006335A4"/>
    <w:rsid w:val="00633A01"/>
    <w:rsid w:val="00636398"/>
    <w:rsid w:val="006368D3"/>
    <w:rsid w:val="006373F3"/>
    <w:rsid w:val="006377EC"/>
    <w:rsid w:val="00637C24"/>
    <w:rsid w:val="00640CBA"/>
    <w:rsid w:val="00640F63"/>
    <w:rsid w:val="00641236"/>
    <w:rsid w:val="0064151F"/>
    <w:rsid w:val="00641533"/>
    <w:rsid w:val="0064208D"/>
    <w:rsid w:val="006423EC"/>
    <w:rsid w:val="00642A8A"/>
    <w:rsid w:val="00643475"/>
    <w:rsid w:val="0064396A"/>
    <w:rsid w:val="00644700"/>
    <w:rsid w:val="0064624E"/>
    <w:rsid w:val="0064639C"/>
    <w:rsid w:val="00646ACC"/>
    <w:rsid w:val="00646C1A"/>
    <w:rsid w:val="00647336"/>
    <w:rsid w:val="00647DBB"/>
    <w:rsid w:val="00650AB9"/>
    <w:rsid w:val="00652A36"/>
    <w:rsid w:val="00653680"/>
    <w:rsid w:val="00655733"/>
    <w:rsid w:val="00655ACD"/>
    <w:rsid w:val="00656A92"/>
    <w:rsid w:val="00656C79"/>
    <w:rsid w:val="00656DDE"/>
    <w:rsid w:val="00657775"/>
    <w:rsid w:val="00657F33"/>
    <w:rsid w:val="0066011D"/>
    <w:rsid w:val="006605D6"/>
    <w:rsid w:val="006607C0"/>
    <w:rsid w:val="00660B62"/>
    <w:rsid w:val="006613A6"/>
    <w:rsid w:val="006627A2"/>
    <w:rsid w:val="006634E6"/>
    <w:rsid w:val="00663656"/>
    <w:rsid w:val="006655EE"/>
    <w:rsid w:val="0066690B"/>
    <w:rsid w:val="00667EE7"/>
    <w:rsid w:val="00670922"/>
    <w:rsid w:val="00670BE1"/>
    <w:rsid w:val="006711D7"/>
    <w:rsid w:val="00671334"/>
    <w:rsid w:val="0067218F"/>
    <w:rsid w:val="00672C9A"/>
    <w:rsid w:val="00672DB0"/>
    <w:rsid w:val="006741F2"/>
    <w:rsid w:val="00674CC3"/>
    <w:rsid w:val="00675AEB"/>
    <w:rsid w:val="00675C72"/>
    <w:rsid w:val="00675F4A"/>
    <w:rsid w:val="006771F9"/>
    <w:rsid w:val="006776D7"/>
    <w:rsid w:val="00681003"/>
    <w:rsid w:val="006817C9"/>
    <w:rsid w:val="006822E8"/>
    <w:rsid w:val="0068280F"/>
    <w:rsid w:val="00682D15"/>
    <w:rsid w:val="00683ECE"/>
    <w:rsid w:val="0068406A"/>
    <w:rsid w:val="0068415C"/>
    <w:rsid w:val="006864DB"/>
    <w:rsid w:val="00686A69"/>
    <w:rsid w:val="00687A8E"/>
    <w:rsid w:val="00692FEF"/>
    <w:rsid w:val="006933BE"/>
    <w:rsid w:val="00693F30"/>
    <w:rsid w:val="0069481A"/>
    <w:rsid w:val="00695FC2"/>
    <w:rsid w:val="00696949"/>
    <w:rsid w:val="00696C3E"/>
    <w:rsid w:val="00696C67"/>
    <w:rsid w:val="00697052"/>
    <w:rsid w:val="006A0F5D"/>
    <w:rsid w:val="006A46FB"/>
    <w:rsid w:val="006A59D9"/>
    <w:rsid w:val="006A5D53"/>
    <w:rsid w:val="006A5E28"/>
    <w:rsid w:val="006A697B"/>
    <w:rsid w:val="006A7AFF"/>
    <w:rsid w:val="006B02D5"/>
    <w:rsid w:val="006B1816"/>
    <w:rsid w:val="006B2016"/>
    <w:rsid w:val="006B2099"/>
    <w:rsid w:val="006B3688"/>
    <w:rsid w:val="006B50CF"/>
    <w:rsid w:val="006C03B8"/>
    <w:rsid w:val="006C2D83"/>
    <w:rsid w:val="006C479F"/>
    <w:rsid w:val="006C5EC9"/>
    <w:rsid w:val="006C6059"/>
    <w:rsid w:val="006C662D"/>
    <w:rsid w:val="006C67B4"/>
    <w:rsid w:val="006C7522"/>
    <w:rsid w:val="006D1520"/>
    <w:rsid w:val="006D26B5"/>
    <w:rsid w:val="006D3DD3"/>
    <w:rsid w:val="006D58A1"/>
    <w:rsid w:val="006D6F08"/>
    <w:rsid w:val="006D7248"/>
    <w:rsid w:val="006D7795"/>
    <w:rsid w:val="006E062C"/>
    <w:rsid w:val="006E0B05"/>
    <w:rsid w:val="006E0D1E"/>
    <w:rsid w:val="006E1C82"/>
    <w:rsid w:val="006E28B7"/>
    <w:rsid w:val="006E2A9B"/>
    <w:rsid w:val="006E3310"/>
    <w:rsid w:val="006E4E39"/>
    <w:rsid w:val="006E565E"/>
    <w:rsid w:val="006E5F88"/>
    <w:rsid w:val="006E673D"/>
    <w:rsid w:val="006E7D3B"/>
    <w:rsid w:val="006F0467"/>
    <w:rsid w:val="006F04F0"/>
    <w:rsid w:val="006F09DE"/>
    <w:rsid w:val="006F0F96"/>
    <w:rsid w:val="006F1B70"/>
    <w:rsid w:val="006F341D"/>
    <w:rsid w:val="006F3CDE"/>
    <w:rsid w:val="006F58D4"/>
    <w:rsid w:val="006F624C"/>
    <w:rsid w:val="006F6582"/>
    <w:rsid w:val="006F6E1B"/>
    <w:rsid w:val="006F791F"/>
    <w:rsid w:val="00700EDD"/>
    <w:rsid w:val="0070346E"/>
    <w:rsid w:val="0070405B"/>
    <w:rsid w:val="00704EDB"/>
    <w:rsid w:val="00705BF4"/>
    <w:rsid w:val="00705D4B"/>
    <w:rsid w:val="00705E54"/>
    <w:rsid w:val="00706029"/>
    <w:rsid w:val="00706101"/>
    <w:rsid w:val="00707072"/>
    <w:rsid w:val="00707D61"/>
    <w:rsid w:val="00707DE6"/>
    <w:rsid w:val="00710A09"/>
    <w:rsid w:val="00711B88"/>
    <w:rsid w:val="00712287"/>
    <w:rsid w:val="00712772"/>
    <w:rsid w:val="007141B1"/>
    <w:rsid w:val="007148D3"/>
    <w:rsid w:val="00715B9A"/>
    <w:rsid w:val="00716F9F"/>
    <w:rsid w:val="00720A10"/>
    <w:rsid w:val="00720EAC"/>
    <w:rsid w:val="00724D45"/>
    <w:rsid w:val="007257D0"/>
    <w:rsid w:val="00725CF4"/>
    <w:rsid w:val="00726EA6"/>
    <w:rsid w:val="00727208"/>
    <w:rsid w:val="00727680"/>
    <w:rsid w:val="007329F5"/>
    <w:rsid w:val="00732FC5"/>
    <w:rsid w:val="007348B1"/>
    <w:rsid w:val="007362A6"/>
    <w:rsid w:val="00736332"/>
    <w:rsid w:val="00736422"/>
    <w:rsid w:val="007368C2"/>
    <w:rsid w:val="007368F9"/>
    <w:rsid w:val="00736D7D"/>
    <w:rsid w:val="00737131"/>
    <w:rsid w:val="007375D9"/>
    <w:rsid w:val="007406CA"/>
    <w:rsid w:val="00740E58"/>
    <w:rsid w:val="007427C5"/>
    <w:rsid w:val="00742F72"/>
    <w:rsid w:val="007445A0"/>
    <w:rsid w:val="007447EB"/>
    <w:rsid w:val="0074524B"/>
    <w:rsid w:val="007457C0"/>
    <w:rsid w:val="00746DE6"/>
    <w:rsid w:val="00747D8B"/>
    <w:rsid w:val="00750043"/>
    <w:rsid w:val="00751228"/>
    <w:rsid w:val="00751434"/>
    <w:rsid w:val="007524E6"/>
    <w:rsid w:val="00752508"/>
    <w:rsid w:val="007529F9"/>
    <w:rsid w:val="007550FB"/>
    <w:rsid w:val="00755533"/>
    <w:rsid w:val="0075572D"/>
    <w:rsid w:val="00756EE4"/>
    <w:rsid w:val="007571E1"/>
    <w:rsid w:val="00757A72"/>
    <w:rsid w:val="007604B2"/>
    <w:rsid w:val="007616FF"/>
    <w:rsid w:val="007631BA"/>
    <w:rsid w:val="00764022"/>
    <w:rsid w:val="00765281"/>
    <w:rsid w:val="00765C7D"/>
    <w:rsid w:val="00766BAD"/>
    <w:rsid w:val="00771318"/>
    <w:rsid w:val="00771494"/>
    <w:rsid w:val="007715BE"/>
    <w:rsid w:val="007729A2"/>
    <w:rsid w:val="00772B62"/>
    <w:rsid w:val="00774352"/>
    <w:rsid w:val="00774B85"/>
    <w:rsid w:val="007754F1"/>
    <w:rsid w:val="007755F2"/>
    <w:rsid w:val="00776971"/>
    <w:rsid w:val="007769F8"/>
    <w:rsid w:val="00780A80"/>
    <w:rsid w:val="0078177E"/>
    <w:rsid w:val="007829A8"/>
    <w:rsid w:val="0078304C"/>
    <w:rsid w:val="00783673"/>
    <w:rsid w:val="00783E4C"/>
    <w:rsid w:val="007844D3"/>
    <w:rsid w:val="00784EF4"/>
    <w:rsid w:val="00785490"/>
    <w:rsid w:val="007925EA"/>
    <w:rsid w:val="00793CD8"/>
    <w:rsid w:val="00795C92"/>
    <w:rsid w:val="00796231"/>
    <w:rsid w:val="00797F95"/>
    <w:rsid w:val="007A07B3"/>
    <w:rsid w:val="007A1CB3"/>
    <w:rsid w:val="007A306F"/>
    <w:rsid w:val="007A3331"/>
    <w:rsid w:val="007A3DEA"/>
    <w:rsid w:val="007A43A6"/>
    <w:rsid w:val="007A58A6"/>
    <w:rsid w:val="007A5AB7"/>
    <w:rsid w:val="007A7745"/>
    <w:rsid w:val="007B012B"/>
    <w:rsid w:val="007B3D2D"/>
    <w:rsid w:val="007B50AE"/>
    <w:rsid w:val="007B51DF"/>
    <w:rsid w:val="007B5BF6"/>
    <w:rsid w:val="007B69B7"/>
    <w:rsid w:val="007C05DD"/>
    <w:rsid w:val="007C1DA6"/>
    <w:rsid w:val="007C3D18"/>
    <w:rsid w:val="007C568E"/>
    <w:rsid w:val="007C60BF"/>
    <w:rsid w:val="007C6A07"/>
    <w:rsid w:val="007C6D52"/>
    <w:rsid w:val="007C6D8A"/>
    <w:rsid w:val="007C75A1"/>
    <w:rsid w:val="007C77A5"/>
    <w:rsid w:val="007C7909"/>
    <w:rsid w:val="007D04E5"/>
    <w:rsid w:val="007D0831"/>
    <w:rsid w:val="007D1C19"/>
    <w:rsid w:val="007D2FAD"/>
    <w:rsid w:val="007D4367"/>
    <w:rsid w:val="007D4A39"/>
    <w:rsid w:val="007D4CBE"/>
    <w:rsid w:val="007D5901"/>
    <w:rsid w:val="007D5AB6"/>
    <w:rsid w:val="007D7526"/>
    <w:rsid w:val="007E0126"/>
    <w:rsid w:val="007E01A1"/>
    <w:rsid w:val="007E1E91"/>
    <w:rsid w:val="007E245A"/>
    <w:rsid w:val="007E3113"/>
    <w:rsid w:val="007E41BD"/>
    <w:rsid w:val="007E4610"/>
    <w:rsid w:val="007E4715"/>
    <w:rsid w:val="007E4962"/>
    <w:rsid w:val="007E4B29"/>
    <w:rsid w:val="007E505B"/>
    <w:rsid w:val="007E555B"/>
    <w:rsid w:val="007E55A1"/>
    <w:rsid w:val="007E7091"/>
    <w:rsid w:val="007E70B1"/>
    <w:rsid w:val="007F02CE"/>
    <w:rsid w:val="007F17D8"/>
    <w:rsid w:val="007F490B"/>
    <w:rsid w:val="007F794C"/>
    <w:rsid w:val="00800E2F"/>
    <w:rsid w:val="008028AD"/>
    <w:rsid w:val="00802A9B"/>
    <w:rsid w:val="00803FAE"/>
    <w:rsid w:val="0080605F"/>
    <w:rsid w:val="00806429"/>
    <w:rsid w:val="0080739A"/>
    <w:rsid w:val="00807786"/>
    <w:rsid w:val="008077DE"/>
    <w:rsid w:val="0081004B"/>
    <w:rsid w:val="008103A5"/>
    <w:rsid w:val="00811FCB"/>
    <w:rsid w:val="008129F3"/>
    <w:rsid w:val="008144B7"/>
    <w:rsid w:val="008158D6"/>
    <w:rsid w:val="00815E91"/>
    <w:rsid w:val="008170B7"/>
    <w:rsid w:val="00817196"/>
    <w:rsid w:val="00820231"/>
    <w:rsid w:val="0082187C"/>
    <w:rsid w:val="00821C6B"/>
    <w:rsid w:val="00823013"/>
    <w:rsid w:val="008235D3"/>
    <w:rsid w:val="008235DB"/>
    <w:rsid w:val="00824AB4"/>
    <w:rsid w:val="00824F52"/>
    <w:rsid w:val="00825C42"/>
    <w:rsid w:val="00825D25"/>
    <w:rsid w:val="008262F3"/>
    <w:rsid w:val="0082670F"/>
    <w:rsid w:val="0082729B"/>
    <w:rsid w:val="00827D6F"/>
    <w:rsid w:val="0083047D"/>
    <w:rsid w:val="00831665"/>
    <w:rsid w:val="00831B19"/>
    <w:rsid w:val="0083407C"/>
    <w:rsid w:val="00834399"/>
    <w:rsid w:val="00837315"/>
    <w:rsid w:val="008376AC"/>
    <w:rsid w:val="00841A15"/>
    <w:rsid w:val="008429D1"/>
    <w:rsid w:val="00842D40"/>
    <w:rsid w:val="008440D5"/>
    <w:rsid w:val="008444E8"/>
    <w:rsid w:val="00844E80"/>
    <w:rsid w:val="008466E7"/>
    <w:rsid w:val="00846FE7"/>
    <w:rsid w:val="00847830"/>
    <w:rsid w:val="008526D4"/>
    <w:rsid w:val="00854491"/>
    <w:rsid w:val="00854846"/>
    <w:rsid w:val="00855C37"/>
    <w:rsid w:val="00855DC9"/>
    <w:rsid w:val="00856911"/>
    <w:rsid w:val="00856E24"/>
    <w:rsid w:val="00860F11"/>
    <w:rsid w:val="00861531"/>
    <w:rsid w:val="0086218C"/>
    <w:rsid w:val="008630C4"/>
    <w:rsid w:val="00863C00"/>
    <w:rsid w:val="008650B5"/>
    <w:rsid w:val="00865C41"/>
    <w:rsid w:val="008669CC"/>
    <w:rsid w:val="008677FD"/>
    <w:rsid w:val="00867CF7"/>
    <w:rsid w:val="008706D4"/>
    <w:rsid w:val="00870F8A"/>
    <w:rsid w:val="008719A4"/>
    <w:rsid w:val="00871D23"/>
    <w:rsid w:val="008731CA"/>
    <w:rsid w:val="00874312"/>
    <w:rsid w:val="0087437C"/>
    <w:rsid w:val="00875CD7"/>
    <w:rsid w:val="00876B4D"/>
    <w:rsid w:val="0087733A"/>
    <w:rsid w:val="00877F18"/>
    <w:rsid w:val="00880015"/>
    <w:rsid w:val="00880350"/>
    <w:rsid w:val="00881D3C"/>
    <w:rsid w:val="00884942"/>
    <w:rsid w:val="0088786A"/>
    <w:rsid w:val="00892138"/>
    <w:rsid w:val="008941E3"/>
    <w:rsid w:val="00894369"/>
    <w:rsid w:val="00894A88"/>
    <w:rsid w:val="00895148"/>
    <w:rsid w:val="00895386"/>
    <w:rsid w:val="008A015F"/>
    <w:rsid w:val="008A16B7"/>
    <w:rsid w:val="008A1F60"/>
    <w:rsid w:val="008A21FF"/>
    <w:rsid w:val="008A2CE2"/>
    <w:rsid w:val="008A30AC"/>
    <w:rsid w:val="008A44B8"/>
    <w:rsid w:val="008A51A8"/>
    <w:rsid w:val="008A54C7"/>
    <w:rsid w:val="008A57E2"/>
    <w:rsid w:val="008A6624"/>
    <w:rsid w:val="008A6C47"/>
    <w:rsid w:val="008A77D8"/>
    <w:rsid w:val="008B0483"/>
    <w:rsid w:val="008B120C"/>
    <w:rsid w:val="008B392B"/>
    <w:rsid w:val="008B4225"/>
    <w:rsid w:val="008B4A46"/>
    <w:rsid w:val="008B51A0"/>
    <w:rsid w:val="008B592A"/>
    <w:rsid w:val="008B716E"/>
    <w:rsid w:val="008B7B5C"/>
    <w:rsid w:val="008C0AFA"/>
    <w:rsid w:val="008C0C99"/>
    <w:rsid w:val="008C1B25"/>
    <w:rsid w:val="008C1EAF"/>
    <w:rsid w:val="008C2017"/>
    <w:rsid w:val="008C3D8E"/>
    <w:rsid w:val="008C4958"/>
    <w:rsid w:val="008C4BAA"/>
    <w:rsid w:val="008C5051"/>
    <w:rsid w:val="008C5060"/>
    <w:rsid w:val="008C527E"/>
    <w:rsid w:val="008C5724"/>
    <w:rsid w:val="008C6AE8"/>
    <w:rsid w:val="008C7573"/>
    <w:rsid w:val="008D00A5"/>
    <w:rsid w:val="008D08E6"/>
    <w:rsid w:val="008D21D6"/>
    <w:rsid w:val="008D34F1"/>
    <w:rsid w:val="008D39D8"/>
    <w:rsid w:val="008D4C9D"/>
    <w:rsid w:val="008D5BB5"/>
    <w:rsid w:val="008D6D1A"/>
    <w:rsid w:val="008D737C"/>
    <w:rsid w:val="008D7BA9"/>
    <w:rsid w:val="008E02E0"/>
    <w:rsid w:val="008E065E"/>
    <w:rsid w:val="008E074F"/>
    <w:rsid w:val="008E0927"/>
    <w:rsid w:val="008E1909"/>
    <w:rsid w:val="008E1971"/>
    <w:rsid w:val="008E3980"/>
    <w:rsid w:val="008E3CCB"/>
    <w:rsid w:val="008E5E8E"/>
    <w:rsid w:val="008E6348"/>
    <w:rsid w:val="008E6A9B"/>
    <w:rsid w:val="008E6F3B"/>
    <w:rsid w:val="008F1407"/>
    <w:rsid w:val="008F1C4E"/>
    <w:rsid w:val="008F1EAB"/>
    <w:rsid w:val="008F2170"/>
    <w:rsid w:val="008F3083"/>
    <w:rsid w:val="008F33DC"/>
    <w:rsid w:val="008F477F"/>
    <w:rsid w:val="008F4A0E"/>
    <w:rsid w:val="008F578B"/>
    <w:rsid w:val="008F6246"/>
    <w:rsid w:val="00902350"/>
    <w:rsid w:val="00902C80"/>
    <w:rsid w:val="00902CDD"/>
    <w:rsid w:val="0090336B"/>
    <w:rsid w:val="009053AA"/>
    <w:rsid w:val="00906600"/>
    <w:rsid w:val="00906939"/>
    <w:rsid w:val="00907487"/>
    <w:rsid w:val="00907DE8"/>
    <w:rsid w:val="00910B7D"/>
    <w:rsid w:val="00910B90"/>
    <w:rsid w:val="00911DFB"/>
    <w:rsid w:val="009135C0"/>
    <w:rsid w:val="009139D9"/>
    <w:rsid w:val="00914AD8"/>
    <w:rsid w:val="00914C2A"/>
    <w:rsid w:val="00914FA5"/>
    <w:rsid w:val="00916079"/>
    <w:rsid w:val="0091688B"/>
    <w:rsid w:val="00916A9F"/>
    <w:rsid w:val="00917CE9"/>
    <w:rsid w:val="0092075B"/>
    <w:rsid w:val="00920BF2"/>
    <w:rsid w:val="00920EDE"/>
    <w:rsid w:val="00922010"/>
    <w:rsid w:val="0092393A"/>
    <w:rsid w:val="0092642B"/>
    <w:rsid w:val="0092787C"/>
    <w:rsid w:val="00927D43"/>
    <w:rsid w:val="00931BD9"/>
    <w:rsid w:val="00934D16"/>
    <w:rsid w:val="009368F3"/>
    <w:rsid w:val="00940821"/>
    <w:rsid w:val="009410B2"/>
    <w:rsid w:val="00941636"/>
    <w:rsid w:val="00943742"/>
    <w:rsid w:val="009447B5"/>
    <w:rsid w:val="00944F75"/>
    <w:rsid w:val="00945102"/>
    <w:rsid w:val="00945C05"/>
    <w:rsid w:val="00945DFC"/>
    <w:rsid w:val="00946945"/>
    <w:rsid w:val="00947713"/>
    <w:rsid w:val="00950DE7"/>
    <w:rsid w:val="00953899"/>
    <w:rsid w:val="00953920"/>
    <w:rsid w:val="00953D47"/>
    <w:rsid w:val="009548BB"/>
    <w:rsid w:val="00956756"/>
    <w:rsid w:val="0095681E"/>
    <w:rsid w:val="009572D4"/>
    <w:rsid w:val="0096000A"/>
    <w:rsid w:val="009606A6"/>
    <w:rsid w:val="00960F69"/>
    <w:rsid w:val="00961921"/>
    <w:rsid w:val="00961EE8"/>
    <w:rsid w:val="00962B19"/>
    <w:rsid w:val="00962CC4"/>
    <w:rsid w:val="0096430A"/>
    <w:rsid w:val="00964622"/>
    <w:rsid w:val="0096554B"/>
    <w:rsid w:val="0096584A"/>
    <w:rsid w:val="009664A0"/>
    <w:rsid w:val="00966773"/>
    <w:rsid w:val="0097065C"/>
    <w:rsid w:val="00970CE2"/>
    <w:rsid w:val="00971200"/>
    <w:rsid w:val="00971F08"/>
    <w:rsid w:val="00972E61"/>
    <w:rsid w:val="009739CC"/>
    <w:rsid w:val="009744D6"/>
    <w:rsid w:val="0097603D"/>
    <w:rsid w:val="00976949"/>
    <w:rsid w:val="00976C4A"/>
    <w:rsid w:val="00980477"/>
    <w:rsid w:val="00980E22"/>
    <w:rsid w:val="00981B76"/>
    <w:rsid w:val="009829D9"/>
    <w:rsid w:val="00983A5F"/>
    <w:rsid w:val="00985253"/>
    <w:rsid w:val="009853B3"/>
    <w:rsid w:val="00985614"/>
    <w:rsid w:val="0098635F"/>
    <w:rsid w:val="009879EF"/>
    <w:rsid w:val="00990630"/>
    <w:rsid w:val="00991761"/>
    <w:rsid w:val="00991D6A"/>
    <w:rsid w:val="009926B1"/>
    <w:rsid w:val="0099353E"/>
    <w:rsid w:val="00993E10"/>
    <w:rsid w:val="009943B3"/>
    <w:rsid w:val="00994DCA"/>
    <w:rsid w:val="00994F31"/>
    <w:rsid w:val="00995EEC"/>
    <w:rsid w:val="00995F82"/>
    <w:rsid w:val="00995FE5"/>
    <w:rsid w:val="009960EC"/>
    <w:rsid w:val="009970DD"/>
    <w:rsid w:val="0099731F"/>
    <w:rsid w:val="00997477"/>
    <w:rsid w:val="009A08AA"/>
    <w:rsid w:val="009A0FBA"/>
    <w:rsid w:val="009A1601"/>
    <w:rsid w:val="009A26E4"/>
    <w:rsid w:val="009A2983"/>
    <w:rsid w:val="009A3BB6"/>
    <w:rsid w:val="009A462D"/>
    <w:rsid w:val="009A5422"/>
    <w:rsid w:val="009A582E"/>
    <w:rsid w:val="009A5CBA"/>
    <w:rsid w:val="009A6789"/>
    <w:rsid w:val="009A6E23"/>
    <w:rsid w:val="009B1F30"/>
    <w:rsid w:val="009B217C"/>
    <w:rsid w:val="009B39E4"/>
    <w:rsid w:val="009B3AC2"/>
    <w:rsid w:val="009B4255"/>
    <w:rsid w:val="009B4380"/>
    <w:rsid w:val="009B4DF4"/>
    <w:rsid w:val="009B564E"/>
    <w:rsid w:val="009B7E87"/>
    <w:rsid w:val="009C0169"/>
    <w:rsid w:val="009C2445"/>
    <w:rsid w:val="009C26F1"/>
    <w:rsid w:val="009C2D28"/>
    <w:rsid w:val="009C3269"/>
    <w:rsid w:val="009C403E"/>
    <w:rsid w:val="009C5425"/>
    <w:rsid w:val="009C5C1E"/>
    <w:rsid w:val="009C5D67"/>
    <w:rsid w:val="009C64AD"/>
    <w:rsid w:val="009C66BA"/>
    <w:rsid w:val="009C6A95"/>
    <w:rsid w:val="009C72D8"/>
    <w:rsid w:val="009D0AE3"/>
    <w:rsid w:val="009D18B0"/>
    <w:rsid w:val="009D1A4F"/>
    <w:rsid w:val="009D1E8E"/>
    <w:rsid w:val="009D25C5"/>
    <w:rsid w:val="009D2721"/>
    <w:rsid w:val="009D4FF0"/>
    <w:rsid w:val="009D6D44"/>
    <w:rsid w:val="009D703C"/>
    <w:rsid w:val="009D718F"/>
    <w:rsid w:val="009D7CF9"/>
    <w:rsid w:val="009E068F"/>
    <w:rsid w:val="009E14E0"/>
    <w:rsid w:val="009E1C4E"/>
    <w:rsid w:val="009E21F2"/>
    <w:rsid w:val="009E35DB"/>
    <w:rsid w:val="009E3948"/>
    <w:rsid w:val="009E3C9A"/>
    <w:rsid w:val="009E44C7"/>
    <w:rsid w:val="009E47A3"/>
    <w:rsid w:val="009E609C"/>
    <w:rsid w:val="009E63A1"/>
    <w:rsid w:val="009F01F6"/>
    <w:rsid w:val="009F05BE"/>
    <w:rsid w:val="009F08F3"/>
    <w:rsid w:val="009F0A93"/>
    <w:rsid w:val="009F0E87"/>
    <w:rsid w:val="009F279B"/>
    <w:rsid w:val="009F344F"/>
    <w:rsid w:val="009F399E"/>
    <w:rsid w:val="009F4710"/>
    <w:rsid w:val="009F5494"/>
    <w:rsid w:val="009F5F37"/>
    <w:rsid w:val="009F7076"/>
    <w:rsid w:val="009F7975"/>
    <w:rsid w:val="00A00B24"/>
    <w:rsid w:val="00A031D8"/>
    <w:rsid w:val="00A048A8"/>
    <w:rsid w:val="00A04F49"/>
    <w:rsid w:val="00A05170"/>
    <w:rsid w:val="00A05558"/>
    <w:rsid w:val="00A05D98"/>
    <w:rsid w:val="00A07809"/>
    <w:rsid w:val="00A11B5D"/>
    <w:rsid w:val="00A122F4"/>
    <w:rsid w:val="00A13E54"/>
    <w:rsid w:val="00A17F63"/>
    <w:rsid w:val="00A201D5"/>
    <w:rsid w:val="00A20735"/>
    <w:rsid w:val="00A2092A"/>
    <w:rsid w:val="00A20E7E"/>
    <w:rsid w:val="00A2193B"/>
    <w:rsid w:val="00A219A4"/>
    <w:rsid w:val="00A220E4"/>
    <w:rsid w:val="00A2351A"/>
    <w:rsid w:val="00A24235"/>
    <w:rsid w:val="00A24359"/>
    <w:rsid w:val="00A24EED"/>
    <w:rsid w:val="00A259A7"/>
    <w:rsid w:val="00A26142"/>
    <w:rsid w:val="00A264A9"/>
    <w:rsid w:val="00A26DCF"/>
    <w:rsid w:val="00A27785"/>
    <w:rsid w:val="00A30187"/>
    <w:rsid w:val="00A30CC8"/>
    <w:rsid w:val="00A32CF5"/>
    <w:rsid w:val="00A336F7"/>
    <w:rsid w:val="00A33D08"/>
    <w:rsid w:val="00A3448A"/>
    <w:rsid w:val="00A34B22"/>
    <w:rsid w:val="00A34BFF"/>
    <w:rsid w:val="00A35173"/>
    <w:rsid w:val="00A35D85"/>
    <w:rsid w:val="00A36297"/>
    <w:rsid w:val="00A36DB7"/>
    <w:rsid w:val="00A3765C"/>
    <w:rsid w:val="00A37AA4"/>
    <w:rsid w:val="00A37BA1"/>
    <w:rsid w:val="00A40CA7"/>
    <w:rsid w:val="00A41E2B"/>
    <w:rsid w:val="00A41E85"/>
    <w:rsid w:val="00A425C4"/>
    <w:rsid w:val="00A4347B"/>
    <w:rsid w:val="00A4369A"/>
    <w:rsid w:val="00A44A75"/>
    <w:rsid w:val="00A45B74"/>
    <w:rsid w:val="00A46338"/>
    <w:rsid w:val="00A469E0"/>
    <w:rsid w:val="00A51441"/>
    <w:rsid w:val="00A51549"/>
    <w:rsid w:val="00A517AC"/>
    <w:rsid w:val="00A51A95"/>
    <w:rsid w:val="00A52E1D"/>
    <w:rsid w:val="00A54AED"/>
    <w:rsid w:val="00A55466"/>
    <w:rsid w:val="00A55755"/>
    <w:rsid w:val="00A5701C"/>
    <w:rsid w:val="00A5746D"/>
    <w:rsid w:val="00A61499"/>
    <w:rsid w:val="00A615D4"/>
    <w:rsid w:val="00A619FD"/>
    <w:rsid w:val="00A629B6"/>
    <w:rsid w:val="00A62A77"/>
    <w:rsid w:val="00A63064"/>
    <w:rsid w:val="00A63483"/>
    <w:rsid w:val="00A6468D"/>
    <w:rsid w:val="00A657D7"/>
    <w:rsid w:val="00A660AC"/>
    <w:rsid w:val="00A66812"/>
    <w:rsid w:val="00A67E6C"/>
    <w:rsid w:val="00A7051D"/>
    <w:rsid w:val="00A71B4D"/>
    <w:rsid w:val="00A71B99"/>
    <w:rsid w:val="00A72C56"/>
    <w:rsid w:val="00A72D7C"/>
    <w:rsid w:val="00A739D0"/>
    <w:rsid w:val="00A7447A"/>
    <w:rsid w:val="00A7520D"/>
    <w:rsid w:val="00A7589E"/>
    <w:rsid w:val="00A761D4"/>
    <w:rsid w:val="00A76D96"/>
    <w:rsid w:val="00A77E8E"/>
    <w:rsid w:val="00A77EC4"/>
    <w:rsid w:val="00A8144F"/>
    <w:rsid w:val="00A8237E"/>
    <w:rsid w:val="00A90A74"/>
    <w:rsid w:val="00A91019"/>
    <w:rsid w:val="00A916BB"/>
    <w:rsid w:val="00A92879"/>
    <w:rsid w:val="00A93666"/>
    <w:rsid w:val="00A9442A"/>
    <w:rsid w:val="00A94A08"/>
    <w:rsid w:val="00A96AB3"/>
    <w:rsid w:val="00A97EB1"/>
    <w:rsid w:val="00AA014D"/>
    <w:rsid w:val="00AA016F"/>
    <w:rsid w:val="00AA18C6"/>
    <w:rsid w:val="00AA1ED6"/>
    <w:rsid w:val="00AA2C81"/>
    <w:rsid w:val="00AA2FB9"/>
    <w:rsid w:val="00AA3DB3"/>
    <w:rsid w:val="00AA4342"/>
    <w:rsid w:val="00AA51D6"/>
    <w:rsid w:val="00AA51EC"/>
    <w:rsid w:val="00AA7E67"/>
    <w:rsid w:val="00AB0BC8"/>
    <w:rsid w:val="00AB11CA"/>
    <w:rsid w:val="00AB14D9"/>
    <w:rsid w:val="00AB284A"/>
    <w:rsid w:val="00AB357A"/>
    <w:rsid w:val="00AB3AEB"/>
    <w:rsid w:val="00AB3D28"/>
    <w:rsid w:val="00AB4493"/>
    <w:rsid w:val="00AB4AB8"/>
    <w:rsid w:val="00AB5579"/>
    <w:rsid w:val="00AB61C6"/>
    <w:rsid w:val="00AB6407"/>
    <w:rsid w:val="00AB655E"/>
    <w:rsid w:val="00AC007F"/>
    <w:rsid w:val="00AC2ECD"/>
    <w:rsid w:val="00AC3119"/>
    <w:rsid w:val="00AC344C"/>
    <w:rsid w:val="00AC40CC"/>
    <w:rsid w:val="00AC49FB"/>
    <w:rsid w:val="00AC5A10"/>
    <w:rsid w:val="00AD07A9"/>
    <w:rsid w:val="00AD0AA3"/>
    <w:rsid w:val="00AD0F4B"/>
    <w:rsid w:val="00AD2ED0"/>
    <w:rsid w:val="00AD3F0E"/>
    <w:rsid w:val="00AD3F94"/>
    <w:rsid w:val="00AD47A5"/>
    <w:rsid w:val="00AD4A5A"/>
    <w:rsid w:val="00AD541B"/>
    <w:rsid w:val="00AD6E50"/>
    <w:rsid w:val="00AD70EC"/>
    <w:rsid w:val="00AD7140"/>
    <w:rsid w:val="00AD74A2"/>
    <w:rsid w:val="00AD756A"/>
    <w:rsid w:val="00AD75F9"/>
    <w:rsid w:val="00AE0829"/>
    <w:rsid w:val="00AE0C2B"/>
    <w:rsid w:val="00AE27AC"/>
    <w:rsid w:val="00AE3482"/>
    <w:rsid w:val="00AE40E0"/>
    <w:rsid w:val="00AE488E"/>
    <w:rsid w:val="00AE4DBA"/>
    <w:rsid w:val="00AE4F07"/>
    <w:rsid w:val="00AE54A8"/>
    <w:rsid w:val="00AE5606"/>
    <w:rsid w:val="00AE5E0F"/>
    <w:rsid w:val="00AF04C2"/>
    <w:rsid w:val="00AF15F9"/>
    <w:rsid w:val="00AF1C5D"/>
    <w:rsid w:val="00AF1CD8"/>
    <w:rsid w:val="00AF1F64"/>
    <w:rsid w:val="00AF23D8"/>
    <w:rsid w:val="00AF39C6"/>
    <w:rsid w:val="00AF42D7"/>
    <w:rsid w:val="00AF590A"/>
    <w:rsid w:val="00AF6827"/>
    <w:rsid w:val="00AF6CC1"/>
    <w:rsid w:val="00AF6D86"/>
    <w:rsid w:val="00AF75D9"/>
    <w:rsid w:val="00B006FE"/>
    <w:rsid w:val="00B007CB"/>
    <w:rsid w:val="00B02565"/>
    <w:rsid w:val="00B02AA9"/>
    <w:rsid w:val="00B02FA3"/>
    <w:rsid w:val="00B0333C"/>
    <w:rsid w:val="00B034CE"/>
    <w:rsid w:val="00B05084"/>
    <w:rsid w:val="00B05B33"/>
    <w:rsid w:val="00B062D7"/>
    <w:rsid w:val="00B0760A"/>
    <w:rsid w:val="00B11189"/>
    <w:rsid w:val="00B13805"/>
    <w:rsid w:val="00B151F4"/>
    <w:rsid w:val="00B157F9"/>
    <w:rsid w:val="00B1627F"/>
    <w:rsid w:val="00B1635D"/>
    <w:rsid w:val="00B17D34"/>
    <w:rsid w:val="00B20256"/>
    <w:rsid w:val="00B20AC2"/>
    <w:rsid w:val="00B20D09"/>
    <w:rsid w:val="00B215E1"/>
    <w:rsid w:val="00B21676"/>
    <w:rsid w:val="00B2322A"/>
    <w:rsid w:val="00B267B7"/>
    <w:rsid w:val="00B267C3"/>
    <w:rsid w:val="00B26E4F"/>
    <w:rsid w:val="00B2763F"/>
    <w:rsid w:val="00B27AAC"/>
    <w:rsid w:val="00B30929"/>
    <w:rsid w:val="00B30C3F"/>
    <w:rsid w:val="00B31739"/>
    <w:rsid w:val="00B32EE4"/>
    <w:rsid w:val="00B34560"/>
    <w:rsid w:val="00B356B5"/>
    <w:rsid w:val="00B372AA"/>
    <w:rsid w:val="00B377F7"/>
    <w:rsid w:val="00B37A3F"/>
    <w:rsid w:val="00B37E6F"/>
    <w:rsid w:val="00B37FA1"/>
    <w:rsid w:val="00B40445"/>
    <w:rsid w:val="00B409E0"/>
    <w:rsid w:val="00B41400"/>
    <w:rsid w:val="00B4152F"/>
    <w:rsid w:val="00B4180B"/>
    <w:rsid w:val="00B41888"/>
    <w:rsid w:val="00B4202F"/>
    <w:rsid w:val="00B4212D"/>
    <w:rsid w:val="00B44087"/>
    <w:rsid w:val="00B446CC"/>
    <w:rsid w:val="00B45670"/>
    <w:rsid w:val="00B45A52"/>
    <w:rsid w:val="00B4615A"/>
    <w:rsid w:val="00B46175"/>
    <w:rsid w:val="00B53176"/>
    <w:rsid w:val="00B53A23"/>
    <w:rsid w:val="00B54657"/>
    <w:rsid w:val="00B548B7"/>
    <w:rsid w:val="00B55313"/>
    <w:rsid w:val="00B5796D"/>
    <w:rsid w:val="00B61DC0"/>
    <w:rsid w:val="00B62417"/>
    <w:rsid w:val="00B63926"/>
    <w:rsid w:val="00B65304"/>
    <w:rsid w:val="00B65F0A"/>
    <w:rsid w:val="00B664C7"/>
    <w:rsid w:val="00B66940"/>
    <w:rsid w:val="00B669F1"/>
    <w:rsid w:val="00B66FFE"/>
    <w:rsid w:val="00B67BD3"/>
    <w:rsid w:val="00B67CB4"/>
    <w:rsid w:val="00B70F6D"/>
    <w:rsid w:val="00B7120B"/>
    <w:rsid w:val="00B7224D"/>
    <w:rsid w:val="00B72535"/>
    <w:rsid w:val="00B736DE"/>
    <w:rsid w:val="00B739F6"/>
    <w:rsid w:val="00B749FC"/>
    <w:rsid w:val="00B74C53"/>
    <w:rsid w:val="00B818AA"/>
    <w:rsid w:val="00B81A6C"/>
    <w:rsid w:val="00B83CD4"/>
    <w:rsid w:val="00B841A2"/>
    <w:rsid w:val="00B84263"/>
    <w:rsid w:val="00B85DE5"/>
    <w:rsid w:val="00B86424"/>
    <w:rsid w:val="00B864D2"/>
    <w:rsid w:val="00B90414"/>
    <w:rsid w:val="00B90F73"/>
    <w:rsid w:val="00B93B59"/>
    <w:rsid w:val="00B9406A"/>
    <w:rsid w:val="00B94B76"/>
    <w:rsid w:val="00B955E4"/>
    <w:rsid w:val="00B958AE"/>
    <w:rsid w:val="00B9642B"/>
    <w:rsid w:val="00B969C6"/>
    <w:rsid w:val="00B96BEC"/>
    <w:rsid w:val="00B97523"/>
    <w:rsid w:val="00BA0874"/>
    <w:rsid w:val="00BA1658"/>
    <w:rsid w:val="00BA2280"/>
    <w:rsid w:val="00BA2663"/>
    <w:rsid w:val="00BA2A08"/>
    <w:rsid w:val="00BA39CF"/>
    <w:rsid w:val="00BA3E38"/>
    <w:rsid w:val="00BA56D2"/>
    <w:rsid w:val="00BA59A7"/>
    <w:rsid w:val="00BA750F"/>
    <w:rsid w:val="00BA76E0"/>
    <w:rsid w:val="00BB0257"/>
    <w:rsid w:val="00BB04DE"/>
    <w:rsid w:val="00BB22AA"/>
    <w:rsid w:val="00BB290F"/>
    <w:rsid w:val="00BB2A25"/>
    <w:rsid w:val="00BB4434"/>
    <w:rsid w:val="00BB51E9"/>
    <w:rsid w:val="00BB5F21"/>
    <w:rsid w:val="00BB6476"/>
    <w:rsid w:val="00BC0F37"/>
    <w:rsid w:val="00BC0FDC"/>
    <w:rsid w:val="00BC1790"/>
    <w:rsid w:val="00BC2EC1"/>
    <w:rsid w:val="00BC3053"/>
    <w:rsid w:val="00BC43FE"/>
    <w:rsid w:val="00BC4D2E"/>
    <w:rsid w:val="00BC5D2B"/>
    <w:rsid w:val="00BC60ED"/>
    <w:rsid w:val="00BC66AB"/>
    <w:rsid w:val="00BC7F23"/>
    <w:rsid w:val="00BD0008"/>
    <w:rsid w:val="00BD0909"/>
    <w:rsid w:val="00BD3BCA"/>
    <w:rsid w:val="00BD3DA0"/>
    <w:rsid w:val="00BD3E0F"/>
    <w:rsid w:val="00BD48AC"/>
    <w:rsid w:val="00BD4DF7"/>
    <w:rsid w:val="00BD4F96"/>
    <w:rsid w:val="00BD51FD"/>
    <w:rsid w:val="00BD5E2A"/>
    <w:rsid w:val="00BD5F1A"/>
    <w:rsid w:val="00BE1234"/>
    <w:rsid w:val="00BE1338"/>
    <w:rsid w:val="00BE1FAA"/>
    <w:rsid w:val="00BE20AA"/>
    <w:rsid w:val="00BE2FA6"/>
    <w:rsid w:val="00BE333F"/>
    <w:rsid w:val="00BE5352"/>
    <w:rsid w:val="00BE7406"/>
    <w:rsid w:val="00BE7603"/>
    <w:rsid w:val="00BF0544"/>
    <w:rsid w:val="00BF18BB"/>
    <w:rsid w:val="00BF3279"/>
    <w:rsid w:val="00BF3DF7"/>
    <w:rsid w:val="00BF72D0"/>
    <w:rsid w:val="00BF74C7"/>
    <w:rsid w:val="00C00CE3"/>
    <w:rsid w:val="00C015F1"/>
    <w:rsid w:val="00C01F33"/>
    <w:rsid w:val="00C02CC6"/>
    <w:rsid w:val="00C03797"/>
    <w:rsid w:val="00C0406A"/>
    <w:rsid w:val="00C040F7"/>
    <w:rsid w:val="00C044AB"/>
    <w:rsid w:val="00C0465D"/>
    <w:rsid w:val="00C04A12"/>
    <w:rsid w:val="00C05706"/>
    <w:rsid w:val="00C05C8C"/>
    <w:rsid w:val="00C065C9"/>
    <w:rsid w:val="00C07377"/>
    <w:rsid w:val="00C10478"/>
    <w:rsid w:val="00C11BDC"/>
    <w:rsid w:val="00C12107"/>
    <w:rsid w:val="00C137A9"/>
    <w:rsid w:val="00C138C7"/>
    <w:rsid w:val="00C14116"/>
    <w:rsid w:val="00C14D4B"/>
    <w:rsid w:val="00C154BB"/>
    <w:rsid w:val="00C170D0"/>
    <w:rsid w:val="00C1768E"/>
    <w:rsid w:val="00C2003C"/>
    <w:rsid w:val="00C23FA4"/>
    <w:rsid w:val="00C24E72"/>
    <w:rsid w:val="00C24EB1"/>
    <w:rsid w:val="00C25CF1"/>
    <w:rsid w:val="00C27096"/>
    <w:rsid w:val="00C279B5"/>
    <w:rsid w:val="00C279E8"/>
    <w:rsid w:val="00C27C45"/>
    <w:rsid w:val="00C27E46"/>
    <w:rsid w:val="00C27EA7"/>
    <w:rsid w:val="00C30C89"/>
    <w:rsid w:val="00C337DB"/>
    <w:rsid w:val="00C33900"/>
    <w:rsid w:val="00C33C45"/>
    <w:rsid w:val="00C3471B"/>
    <w:rsid w:val="00C34C17"/>
    <w:rsid w:val="00C3686F"/>
    <w:rsid w:val="00C36DE6"/>
    <w:rsid w:val="00C3719D"/>
    <w:rsid w:val="00C37CB2"/>
    <w:rsid w:val="00C4090A"/>
    <w:rsid w:val="00C40B00"/>
    <w:rsid w:val="00C41195"/>
    <w:rsid w:val="00C412B6"/>
    <w:rsid w:val="00C41F67"/>
    <w:rsid w:val="00C42FB5"/>
    <w:rsid w:val="00C4496B"/>
    <w:rsid w:val="00C4668A"/>
    <w:rsid w:val="00C473A5"/>
    <w:rsid w:val="00C4755B"/>
    <w:rsid w:val="00C47E33"/>
    <w:rsid w:val="00C5026B"/>
    <w:rsid w:val="00C50F94"/>
    <w:rsid w:val="00C51637"/>
    <w:rsid w:val="00C54527"/>
    <w:rsid w:val="00C54995"/>
    <w:rsid w:val="00C54D41"/>
    <w:rsid w:val="00C557E3"/>
    <w:rsid w:val="00C567F7"/>
    <w:rsid w:val="00C568BB"/>
    <w:rsid w:val="00C56E0A"/>
    <w:rsid w:val="00C57945"/>
    <w:rsid w:val="00C60783"/>
    <w:rsid w:val="00C60B31"/>
    <w:rsid w:val="00C62468"/>
    <w:rsid w:val="00C64672"/>
    <w:rsid w:val="00C70697"/>
    <w:rsid w:val="00C718EC"/>
    <w:rsid w:val="00C72093"/>
    <w:rsid w:val="00C72D93"/>
    <w:rsid w:val="00C72EF4"/>
    <w:rsid w:val="00C744FE"/>
    <w:rsid w:val="00C75137"/>
    <w:rsid w:val="00C75D2F"/>
    <w:rsid w:val="00C767BE"/>
    <w:rsid w:val="00C768C7"/>
    <w:rsid w:val="00C76E3C"/>
    <w:rsid w:val="00C7712C"/>
    <w:rsid w:val="00C812BF"/>
    <w:rsid w:val="00C81568"/>
    <w:rsid w:val="00C8271C"/>
    <w:rsid w:val="00C83D47"/>
    <w:rsid w:val="00C862A5"/>
    <w:rsid w:val="00C865E6"/>
    <w:rsid w:val="00C867E2"/>
    <w:rsid w:val="00C86EB2"/>
    <w:rsid w:val="00C87546"/>
    <w:rsid w:val="00C90076"/>
    <w:rsid w:val="00C9027A"/>
    <w:rsid w:val="00C9059E"/>
    <w:rsid w:val="00C9068E"/>
    <w:rsid w:val="00C92EEB"/>
    <w:rsid w:val="00C93814"/>
    <w:rsid w:val="00C93C4B"/>
    <w:rsid w:val="00C94029"/>
    <w:rsid w:val="00C941F7"/>
    <w:rsid w:val="00C942FB"/>
    <w:rsid w:val="00C944AB"/>
    <w:rsid w:val="00C95B40"/>
    <w:rsid w:val="00C95D2A"/>
    <w:rsid w:val="00CA1ED8"/>
    <w:rsid w:val="00CA3CCD"/>
    <w:rsid w:val="00CA5E71"/>
    <w:rsid w:val="00CB0EB6"/>
    <w:rsid w:val="00CB1A82"/>
    <w:rsid w:val="00CB1F63"/>
    <w:rsid w:val="00CB1FD5"/>
    <w:rsid w:val="00CB22ED"/>
    <w:rsid w:val="00CB2B6F"/>
    <w:rsid w:val="00CB31E3"/>
    <w:rsid w:val="00CB43F2"/>
    <w:rsid w:val="00CB51E7"/>
    <w:rsid w:val="00CB5A7A"/>
    <w:rsid w:val="00CB641A"/>
    <w:rsid w:val="00CB6473"/>
    <w:rsid w:val="00CB7170"/>
    <w:rsid w:val="00CC040E"/>
    <w:rsid w:val="00CC111F"/>
    <w:rsid w:val="00CC1F87"/>
    <w:rsid w:val="00CC2011"/>
    <w:rsid w:val="00CC237E"/>
    <w:rsid w:val="00CC2BCD"/>
    <w:rsid w:val="00CC3152"/>
    <w:rsid w:val="00CC3EA0"/>
    <w:rsid w:val="00CC4727"/>
    <w:rsid w:val="00CC4E17"/>
    <w:rsid w:val="00CC528F"/>
    <w:rsid w:val="00CC69BF"/>
    <w:rsid w:val="00CC7B45"/>
    <w:rsid w:val="00CD1188"/>
    <w:rsid w:val="00CD2CF1"/>
    <w:rsid w:val="00CD2DED"/>
    <w:rsid w:val="00CD2ED1"/>
    <w:rsid w:val="00CD337B"/>
    <w:rsid w:val="00CD3D86"/>
    <w:rsid w:val="00CD42D1"/>
    <w:rsid w:val="00CD4A20"/>
    <w:rsid w:val="00CD5D5F"/>
    <w:rsid w:val="00CE0424"/>
    <w:rsid w:val="00CE1267"/>
    <w:rsid w:val="00CE1CAD"/>
    <w:rsid w:val="00CE3029"/>
    <w:rsid w:val="00CE3B3B"/>
    <w:rsid w:val="00CE42EA"/>
    <w:rsid w:val="00CE4528"/>
    <w:rsid w:val="00CE57DF"/>
    <w:rsid w:val="00CE5C82"/>
    <w:rsid w:val="00CE7561"/>
    <w:rsid w:val="00CE75AF"/>
    <w:rsid w:val="00CF1354"/>
    <w:rsid w:val="00CF2712"/>
    <w:rsid w:val="00CF3B1F"/>
    <w:rsid w:val="00CF3BF6"/>
    <w:rsid w:val="00CF53D1"/>
    <w:rsid w:val="00CF625B"/>
    <w:rsid w:val="00CF687E"/>
    <w:rsid w:val="00CF6E26"/>
    <w:rsid w:val="00CF7B13"/>
    <w:rsid w:val="00D00DE1"/>
    <w:rsid w:val="00D0349B"/>
    <w:rsid w:val="00D03B57"/>
    <w:rsid w:val="00D052BE"/>
    <w:rsid w:val="00D05943"/>
    <w:rsid w:val="00D074C8"/>
    <w:rsid w:val="00D07B85"/>
    <w:rsid w:val="00D10249"/>
    <w:rsid w:val="00D106F1"/>
    <w:rsid w:val="00D115C3"/>
    <w:rsid w:val="00D11897"/>
    <w:rsid w:val="00D12191"/>
    <w:rsid w:val="00D1232A"/>
    <w:rsid w:val="00D13135"/>
    <w:rsid w:val="00D13E4E"/>
    <w:rsid w:val="00D143E0"/>
    <w:rsid w:val="00D16F17"/>
    <w:rsid w:val="00D17DD6"/>
    <w:rsid w:val="00D2192B"/>
    <w:rsid w:val="00D22417"/>
    <w:rsid w:val="00D239A7"/>
    <w:rsid w:val="00D23A80"/>
    <w:rsid w:val="00D23F47"/>
    <w:rsid w:val="00D31AF0"/>
    <w:rsid w:val="00D31D35"/>
    <w:rsid w:val="00D3369E"/>
    <w:rsid w:val="00D36E71"/>
    <w:rsid w:val="00D37994"/>
    <w:rsid w:val="00D37D87"/>
    <w:rsid w:val="00D40B33"/>
    <w:rsid w:val="00D40F86"/>
    <w:rsid w:val="00D4103D"/>
    <w:rsid w:val="00D42E9C"/>
    <w:rsid w:val="00D4318F"/>
    <w:rsid w:val="00D433A6"/>
    <w:rsid w:val="00D438BF"/>
    <w:rsid w:val="00D440F8"/>
    <w:rsid w:val="00D44D2C"/>
    <w:rsid w:val="00D453ED"/>
    <w:rsid w:val="00D461E9"/>
    <w:rsid w:val="00D465B8"/>
    <w:rsid w:val="00D470E4"/>
    <w:rsid w:val="00D51578"/>
    <w:rsid w:val="00D5204E"/>
    <w:rsid w:val="00D525AD"/>
    <w:rsid w:val="00D528BA"/>
    <w:rsid w:val="00D53C0F"/>
    <w:rsid w:val="00D546FF"/>
    <w:rsid w:val="00D54924"/>
    <w:rsid w:val="00D55AD5"/>
    <w:rsid w:val="00D560EA"/>
    <w:rsid w:val="00D561CF"/>
    <w:rsid w:val="00D568B4"/>
    <w:rsid w:val="00D56938"/>
    <w:rsid w:val="00D576CA"/>
    <w:rsid w:val="00D57838"/>
    <w:rsid w:val="00D60435"/>
    <w:rsid w:val="00D60889"/>
    <w:rsid w:val="00D61848"/>
    <w:rsid w:val="00D61AF5"/>
    <w:rsid w:val="00D61B36"/>
    <w:rsid w:val="00D652B5"/>
    <w:rsid w:val="00D658D1"/>
    <w:rsid w:val="00D65FEE"/>
    <w:rsid w:val="00D66155"/>
    <w:rsid w:val="00D708B0"/>
    <w:rsid w:val="00D7733C"/>
    <w:rsid w:val="00D77B1D"/>
    <w:rsid w:val="00D77DA4"/>
    <w:rsid w:val="00D8021F"/>
    <w:rsid w:val="00D80383"/>
    <w:rsid w:val="00D804FF"/>
    <w:rsid w:val="00D80EEB"/>
    <w:rsid w:val="00D823C6"/>
    <w:rsid w:val="00D8327F"/>
    <w:rsid w:val="00D860EB"/>
    <w:rsid w:val="00D86CA3"/>
    <w:rsid w:val="00D871CE"/>
    <w:rsid w:val="00D87746"/>
    <w:rsid w:val="00D8791C"/>
    <w:rsid w:val="00D90458"/>
    <w:rsid w:val="00D90AE4"/>
    <w:rsid w:val="00D9196D"/>
    <w:rsid w:val="00D92982"/>
    <w:rsid w:val="00D93EBA"/>
    <w:rsid w:val="00D93F38"/>
    <w:rsid w:val="00D953D3"/>
    <w:rsid w:val="00DA08F4"/>
    <w:rsid w:val="00DA11EC"/>
    <w:rsid w:val="00DA305E"/>
    <w:rsid w:val="00DA4963"/>
    <w:rsid w:val="00DA4A88"/>
    <w:rsid w:val="00DA5417"/>
    <w:rsid w:val="00DA56E8"/>
    <w:rsid w:val="00DA7401"/>
    <w:rsid w:val="00DA7540"/>
    <w:rsid w:val="00DB0741"/>
    <w:rsid w:val="00DB0A9F"/>
    <w:rsid w:val="00DB168B"/>
    <w:rsid w:val="00DB1EB8"/>
    <w:rsid w:val="00DB377D"/>
    <w:rsid w:val="00DB3D11"/>
    <w:rsid w:val="00DB3D7F"/>
    <w:rsid w:val="00DB4E2C"/>
    <w:rsid w:val="00DB508F"/>
    <w:rsid w:val="00DB6196"/>
    <w:rsid w:val="00DB6AE3"/>
    <w:rsid w:val="00DB79E1"/>
    <w:rsid w:val="00DC03AA"/>
    <w:rsid w:val="00DC0DB5"/>
    <w:rsid w:val="00DC1487"/>
    <w:rsid w:val="00DC220D"/>
    <w:rsid w:val="00DC287A"/>
    <w:rsid w:val="00DC2D36"/>
    <w:rsid w:val="00DC2EE3"/>
    <w:rsid w:val="00DC53EF"/>
    <w:rsid w:val="00DC76D9"/>
    <w:rsid w:val="00DD06D7"/>
    <w:rsid w:val="00DD2644"/>
    <w:rsid w:val="00DD345E"/>
    <w:rsid w:val="00DD415A"/>
    <w:rsid w:val="00DD415D"/>
    <w:rsid w:val="00DD61AD"/>
    <w:rsid w:val="00DD6289"/>
    <w:rsid w:val="00DD7517"/>
    <w:rsid w:val="00DE41E4"/>
    <w:rsid w:val="00DE5608"/>
    <w:rsid w:val="00DE58D0"/>
    <w:rsid w:val="00DE654F"/>
    <w:rsid w:val="00DE7B2C"/>
    <w:rsid w:val="00DF053D"/>
    <w:rsid w:val="00DF05E0"/>
    <w:rsid w:val="00DF0B6E"/>
    <w:rsid w:val="00DF13CB"/>
    <w:rsid w:val="00DF15E0"/>
    <w:rsid w:val="00DF1A3B"/>
    <w:rsid w:val="00DF1D80"/>
    <w:rsid w:val="00DF242B"/>
    <w:rsid w:val="00DF32A5"/>
    <w:rsid w:val="00DF358E"/>
    <w:rsid w:val="00DF37A0"/>
    <w:rsid w:val="00DF40A5"/>
    <w:rsid w:val="00DF46CD"/>
    <w:rsid w:val="00DF4725"/>
    <w:rsid w:val="00DF5CA6"/>
    <w:rsid w:val="00DF6520"/>
    <w:rsid w:val="00DF7DB4"/>
    <w:rsid w:val="00DF7ED4"/>
    <w:rsid w:val="00E01072"/>
    <w:rsid w:val="00E01246"/>
    <w:rsid w:val="00E0156D"/>
    <w:rsid w:val="00E01D12"/>
    <w:rsid w:val="00E02F2C"/>
    <w:rsid w:val="00E034E4"/>
    <w:rsid w:val="00E04516"/>
    <w:rsid w:val="00E048AC"/>
    <w:rsid w:val="00E06182"/>
    <w:rsid w:val="00E101CD"/>
    <w:rsid w:val="00E10208"/>
    <w:rsid w:val="00E10971"/>
    <w:rsid w:val="00E110E7"/>
    <w:rsid w:val="00E11B20"/>
    <w:rsid w:val="00E1287C"/>
    <w:rsid w:val="00E12E4A"/>
    <w:rsid w:val="00E17FA2"/>
    <w:rsid w:val="00E2054C"/>
    <w:rsid w:val="00E22330"/>
    <w:rsid w:val="00E2233A"/>
    <w:rsid w:val="00E22923"/>
    <w:rsid w:val="00E2452C"/>
    <w:rsid w:val="00E2467A"/>
    <w:rsid w:val="00E24AB4"/>
    <w:rsid w:val="00E25BC1"/>
    <w:rsid w:val="00E30B5A"/>
    <w:rsid w:val="00E30CBE"/>
    <w:rsid w:val="00E3123D"/>
    <w:rsid w:val="00E31461"/>
    <w:rsid w:val="00E31D43"/>
    <w:rsid w:val="00E32608"/>
    <w:rsid w:val="00E32F57"/>
    <w:rsid w:val="00E33B71"/>
    <w:rsid w:val="00E34188"/>
    <w:rsid w:val="00E34B6E"/>
    <w:rsid w:val="00E353B7"/>
    <w:rsid w:val="00E35559"/>
    <w:rsid w:val="00E359DF"/>
    <w:rsid w:val="00E3723A"/>
    <w:rsid w:val="00E37860"/>
    <w:rsid w:val="00E40A18"/>
    <w:rsid w:val="00E40F19"/>
    <w:rsid w:val="00E41FDC"/>
    <w:rsid w:val="00E425CA"/>
    <w:rsid w:val="00E42862"/>
    <w:rsid w:val="00E43839"/>
    <w:rsid w:val="00E446F1"/>
    <w:rsid w:val="00E46886"/>
    <w:rsid w:val="00E47AEF"/>
    <w:rsid w:val="00E50A4C"/>
    <w:rsid w:val="00E50FBB"/>
    <w:rsid w:val="00E523B4"/>
    <w:rsid w:val="00E52BDC"/>
    <w:rsid w:val="00E53B75"/>
    <w:rsid w:val="00E54DFA"/>
    <w:rsid w:val="00E54E3B"/>
    <w:rsid w:val="00E56DFA"/>
    <w:rsid w:val="00E56F82"/>
    <w:rsid w:val="00E57565"/>
    <w:rsid w:val="00E57746"/>
    <w:rsid w:val="00E5796C"/>
    <w:rsid w:val="00E57D3B"/>
    <w:rsid w:val="00E6070E"/>
    <w:rsid w:val="00E60FE0"/>
    <w:rsid w:val="00E61A8A"/>
    <w:rsid w:val="00E61B1B"/>
    <w:rsid w:val="00E63838"/>
    <w:rsid w:val="00E64434"/>
    <w:rsid w:val="00E646F1"/>
    <w:rsid w:val="00E64A1F"/>
    <w:rsid w:val="00E6671B"/>
    <w:rsid w:val="00E67C51"/>
    <w:rsid w:val="00E70364"/>
    <w:rsid w:val="00E70B3C"/>
    <w:rsid w:val="00E70D42"/>
    <w:rsid w:val="00E711FF"/>
    <w:rsid w:val="00E7272E"/>
    <w:rsid w:val="00E72EFC"/>
    <w:rsid w:val="00E74D9F"/>
    <w:rsid w:val="00E7562D"/>
    <w:rsid w:val="00E758EC"/>
    <w:rsid w:val="00E77E38"/>
    <w:rsid w:val="00E811D3"/>
    <w:rsid w:val="00E8234C"/>
    <w:rsid w:val="00E83AA9"/>
    <w:rsid w:val="00E83CB9"/>
    <w:rsid w:val="00E83D91"/>
    <w:rsid w:val="00E84E6F"/>
    <w:rsid w:val="00E85928"/>
    <w:rsid w:val="00E869FF"/>
    <w:rsid w:val="00E86E82"/>
    <w:rsid w:val="00E87822"/>
    <w:rsid w:val="00E90395"/>
    <w:rsid w:val="00E90B74"/>
    <w:rsid w:val="00E90E49"/>
    <w:rsid w:val="00E910B5"/>
    <w:rsid w:val="00E917F9"/>
    <w:rsid w:val="00E91EA8"/>
    <w:rsid w:val="00E92016"/>
    <w:rsid w:val="00E9273B"/>
    <w:rsid w:val="00E9291C"/>
    <w:rsid w:val="00E92B83"/>
    <w:rsid w:val="00E93FFE"/>
    <w:rsid w:val="00E94F8A"/>
    <w:rsid w:val="00E97339"/>
    <w:rsid w:val="00E97920"/>
    <w:rsid w:val="00E979E2"/>
    <w:rsid w:val="00E97D31"/>
    <w:rsid w:val="00EA0196"/>
    <w:rsid w:val="00EA3145"/>
    <w:rsid w:val="00EA3CBF"/>
    <w:rsid w:val="00EA479F"/>
    <w:rsid w:val="00EA5A64"/>
    <w:rsid w:val="00EA5D94"/>
    <w:rsid w:val="00EA71A2"/>
    <w:rsid w:val="00EA726D"/>
    <w:rsid w:val="00EA7A41"/>
    <w:rsid w:val="00EB0520"/>
    <w:rsid w:val="00EB077B"/>
    <w:rsid w:val="00EB1562"/>
    <w:rsid w:val="00EB4EA2"/>
    <w:rsid w:val="00EB5235"/>
    <w:rsid w:val="00EB565D"/>
    <w:rsid w:val="00EB5FE6"/>
    <w:rsid w:val="00EB7242"/>
    <w:rsid w:val="00EB74D5"/>
    <w:rsid w:val="00EC060F"/>
    <w:rsid w:val="00EC0CC9"/>
    <w:rsid w:val="00EC1C1F"/>
    <w:rsid w:val="00EC24D5"/>
    <w:rsid w:val="00EC27C6"/>
    <w:rsid w:val="00EC34A4"/>
    <w:rsid w:val="00EC4207"/>
    <w:rsid w:val="00EC55EB"/>
    <w:rsid w:val="00EC5653"/>
    <w:rsid w:val="00EC602E"/>
    <w:rsid w:val="00EC6A5F"/>
    <w:rsid w:val="00EC71CE"/>
    <w:rsid w:val="00EC7641"/>
    <w:rsid w:val="00ED1006"/>
    <w:rsid w:val="00ED18C2"/>
    <w:rsid w:val="00ED1EE2"/>
    <w:rsid w:val="00ED3384"/>
    <w:rsid w:val="00ED3506"/>
    <w:rsid w:val="00ED392D"/>
    <w:rsid w:val="00ED44A6"/>
    <w:rsid w:val="00ED4A99"/>
    <w:rsid w:val="00ED7A3F"/>
    <w:rsid w:val="00ED7E98"/>
    <w:rsid w:val="00EE1AF7"/>
    <w:rsid w:val="00EE23E3"/>
    <w:rsid w:val="00EE2BF0"/>
    <w:rsid w:val="00EE2ED7"/>
    <w:rsid w:val="00EE5F60"/>
    <w:rsid w:val="00EE61A4"/>
    <w:rsid w:val="00EE6718"/>
    <w:rsid w:val="00EE6D7A"/>
    <w:rsid w:val="00EF062C"/>
    <w:rsid w:val="00EF0813"/>
    <w:rsid w:val="00EF0DFE"/>
    <w:rsid w:val="00EF18FE"/>
    <w:rsid w:val="00EF51ED"/>
    <w:rsid w:val="00EF5787"/>
    <w:rsid w:val="00EF5D5A"/>
    <w:rsid w:val="00EF60D0"/>
    <w:rsid w:val="00EF7D51"/>
    <w:rsid w:val="00F012FF"/>
    <w:rsid w:val="00F0528D"/>
    <w:rsid w:val="00F05588"/>
    <w:rsid w:val="00F06C67"/>
    <w:rsid w:val="00F06DFD"/>
    <w:rsid w:val="00F071D1"/>
    <w:rsid w:val="00F07533"/>
    <w:rsid w:val="00F10629"/>
    <w:rsid w:val="00F10DB0"/>
    <w:rsid w:val="00F114D5"/>
    <w:rsid w:val="00F12B80"/>
    <w:rsid w:val="00F13F79"/>
    <w:rsid w:val="00F1480A"/>
    <w:rsid w:val="00F15071"/>
    <w:rsid w:val="00F15D55"/>
    <w:rsid w:val="00F15F9B"/>
    <w:rsid w:val="00F15FA5"/>
    <w:rsid w:val="00F209B7"/>
    <w:rsid w:val="00F21557"/>
    <w:rsid w:val="00F231CD"/>
    <w:rsid w:val="00F2376F"/>
    <w:rsid w:val="00F243D8"/>
    <w:rsid w:val="00F25C6A"/>
    <w:rsid w:val="00F268E4"/>
    <w:rsid w:val="00F269AC"/>
    <w:rsid w:val="00F26CAD"/>
    <w:rsid w:val="00F3022D"/>
    <w:rsid w:val="00F307B2"/>
    <w:rsid w:val="00F30828"/>
    <w:rsid w:val="00F30F6F"/>
    <w:rsid w:val="00F31226"/>
    <w:rsid w:val="00F313D6"/>
    <w:rsid w:val="00F332D7"/>
    <w:rsid w:val="00F332EE"/>
    <w:rsid w:val="00F34211"/>
    <w:rsid w:val="00F3432E"/>
    <w:rsid w:val="00F367ED"/>
    <w:rsid w:val="00F40240"/>
    <w:rsid w:val="00F40F0C"/>
    <w:rsid w:val="00F411FF"/>
    <w:rsid w:val="00F4175E"/>
    <w:rsid w:val="00F43CAE"/>
    <w:rsid w:val="00F441D4"/>
    <w:rsid w:val="00F44CBD"/>
    <w:rsid w:val="00F4591E"/>
    <w:rsid w:val="00F4689C"/>
    <w:rsid w:val="00F46946"/>
    <w:rsid w:val="00F4766C"/>
    <w:rsid w:val="00F47CC1"/>
    <w:rsid w:val="00F5060E"/>
    <w:rsid w:val="00F50656"/>
    <w:rsid w:val="00F507D1"/>
    <w:rsid w:val="00F519CE"/>
    <w:rsid w:val="00F51ADA"/>
    <w:rsid w:val="00F52AFB"/>
    <w:rsid w:val="00F60203"/>
    <w:rsid w:val="00F607C5"/>
    <w:rsid w:val="00F60DEA"/>
    <w:rsid w:val="00F6302A"/>
    <w:rsid w:val="00F63950"/>
    <w:rsid w:val="00F649C6"/>
    <w:rsid w:val="00F64C13"/>
    <w:rsid w:val="00F64C2B"/>
    <w:rsid w:val="00F64FF9"/>
    <w:rsid w:val="00F651BE"/>
    <w:rsid w:val="00F659DA"/>
    <w:rsid w:val="00F66ACD"/>
    <w:rsid w:val="00F67174"/>
    <w:rsid w:val="00F6729B"/>
    <w:rsid w:val="00F67F53"/>
    <w:rsid w:val="00F703BE"/>
    <w:rsid w:val="00F71F69"/>
    <w:rsid w:val="00F724D6"/>
    <w:rsid w:val="00F728E9"/>
    <w:rsid w:val="00F72B72"/>
    <w:rsid w:val="00F72D2A"/>
    <w:rsid w:val="00F72D8A"/>
    <w:rsid w:val="00F74BB9"/>
    <w:rsid w:val="00F7522C"/>
    <w:rsid w:val="00F75582"/>
    <w:rsid w:val="00F76EFA"/>
    <w:rsid w:val="00F77B6C"/>
    <w:rsid w:val="00F804BE"/>
    <w:rsid w:val="00F80FFC"/>
    <w:rsid w:val="00F81752"/>
    <w:rsid w:val="00F817CE"/>
    <w:rsid w:val="00F82484"/>
    <w:rsid w:val="00F82C2E"/>
    <w:rsid w:val="00F8456C"/>
    <w:rsid w:val="00F853D0"/>
    <w:rsid w:val="00F859D8"/>
    <w:rsid w:val="00F868F5"/>
    <w:rsid w:val="00F87B63"/>
    <w:rsid w:val="00F90202"/>
    <w:rsid w:val="00F9056A"/>
    <w:rsid w:val="00F90F8D"/>
    <w:rsid w:val="00F92782"/>
    <w:rsid w:val="00F929A2"/>
    <w:rsid w:val="00F93A8A"/>
    <w:rsid w:val="00F93AA9"/>
    <w:rsid w:val="00F93AE7"/>
    <w:rsid w:val="00F948BB"/>
    <w:rsid w:val="00F95316"/>
    <w:rsid w:val="00F960D4"/>
    <w:rsid w:val="00F96256"/>
    <w:rsid w:val="00F96985"/>
    <w:rsid w:val="00F97838"/>
    <w:rsid w:val="00FA1C24"/>
    <w:rsid w:val="00FA2BB3"/>
    <w:rsid w:val="00FA4912"/>
    <w:rsid w:val="00FA66BC"/>
    <w:rsid w:val="00FA6B8E"/>
    <w:rsid w:val="00FA6BD0"/>
    <w:rsid w:val="00FA6D1E"/>
    <w:rsid w:val="00FB01ED"/>
    <w:rsid w:val="00FB4418"/>
    <w:rsid w:val="00FB4C80"/>
    <w:rsid w:val="00FB5D96"/>
    <w:rsid w:val="00FB60BE"/>
    <w:rsid w:val="00FB6A6A"/>
    <w:rsid w:val="00FB78FB"/>
    <w:rsid w:val="00FC1A15"/>
    <w:rsid w:val="00FC2137"/>
    <w:rsid w:val="00FC61C4"/>
    <w:rsid w:val="00FC7046"/>
    <w:rsid w:val="00FC7429"/>
    <w:rsid w:val="00FD07F6"/>
    <w:rsid w:val="00FD1CBF"/>
    <w:rsid w:val="00FD1D87"/>
    <w:rsid w:val="00FD1EC8"/>
    <w:rsid w:val="00FD1EDC"/>
    <w:rsid w:val="00FD2D2D"/>
    <w:rsid w:val="00FD47ED"/>
    <w:rsid w:val="00FD5AC7"/>
    <w:rsid w:val="00FD5DAD"/>
    <w:rsid w:val="00FD633A"/>
    <w:rsid w:val="00FD74DB"/>
    <w:rsid w:val="00FD7660"/>
    <w:rsid w:val="00FD76FA"/>
    <w:rsid w:val="00FD7737"/>
    <w:rsid w:val="00FD7854"/>
    <w:rsid w:val="00FE0655"/>
    <w:rsid w:val="00FE112A"/>
    <w:rsid w:val="00FE2365"/>
    <w:rsid w:val="00FE25AF"/>
    <w:rsid w:val="00FE353E"/>
    <w:rsid w:val="00FE37D7"/>
    <w:rsid w:val="00FE42EF"/>
    <w:rsid w:val="00FE4C7B"/>
    <w:rsid w:val="00FE54D9"/>
    <w:rsid w:val="00FE5780"/>
    <w:rsid w:val="00FE6D8E"/>
    <w:rsid w:val="00FE7103"/>
    <w:rsid w:val="00FE7336"/>
    <w:rsid w:val="00FE787C"/>
    <w:rsid w:val="00FE7D2C"/>
    <w:rsid w:val="00FE7DF8"/>
    <w:rsid w:val="00FF16E9"/>
    <w:rsid w:val="00FF19E7"/>
    <w:rsid w:val="00FF1C06"/>
    <w:rsid w:val="00FF4147"/>
    <w:rsid w:val="00FF45A5"/>
    <w:rsid w:val="00FF55A6"/>
    <w:rsid w:val="00FF5C91"/>
    <w:rsid w:val="00FF716B"/>
    <w:rsid w:val="13E806B5"/>
    <w:rsid w:val="230C3625"/>
    <w:rsid w:val="53C490C7"/>
    <w:rsid w:val="5B3DC748"/>
    <w:rsid w:val="71D102AC"/>
    <w:rsid w:val="7CDC147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5819B0A9-EAA1-4CEE-AE38-C282D19A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3CAE"/>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43C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3CA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table" w:styleId="GridTable1Light">
    <w:name w:val="Grid Table 1 Light"/>
    <w:basedOn w:val="TableNormal"/>
    <w:uiPriority w:val="46"/>
    <w:rsid w:val="00DF242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EF062C"/>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D56938"/>
    <w:rPr>
      <w:color w:val="605E5C"/>
      <w:shd w:val="clear" w:color="auto" w:fill="E1DFDD"/>
    </w:rPr>
  </w:style>
  <w:style w:type="character" w:styleId="Mention">
    <w:name w:val="Mention"/>
    <w:basedOn w:val="DefaultParagraphFont"/>
    <w:uiPriority w:val="99"/>
    <w:unhideWhenUsed/>
    <w:rsid w:val="00D56938"/>
    <w:rPr>
      <w:color w:val="2B579A"/>
      <w:shd w:val="clear" w:color="auto" w:fill="E1DFDD"/>
    </w:rPr>
  </w:style>
  <w:style w:type="paragraph" w:customStyle="1" w:styleId="Comments">
    <w:name w:val="Comments"/>
    <w:basedOn w:val="Normal"/>
    <w:link w:val="CommentsChar"/>
    <w:qFormat/>
    <w:rsid w:val="00180B7D"/>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180B7D"/>
    <w:rPr>
      <w:rFonts w:ascii="Arial" w:eastAsia="MS Mincho" w:hAnsi="Arial"/>
      <w:i/>
      <w:noProof/>
      <w:sz w:val="18"/>
      <w:szCs w:val="24"/>
    </w:rPr>
  </w:style>
  <w:style w:type="paragraph" w:customStyle="1" w:styleId="IvDbodytext">
    <w:name w:val="IvD bodytext"/>
    <w:basedOn w:val="BodyText"/>
    <w:link w:val="IvDbodytextChar"/>
    <w:qFormat/>
    <w:rsid w:val="00BD0909"/>
    <w:pPr>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 w:val="20"/>
      <w:szCs w:val="20"/>
      <w:lang w:val="en-US"/>
    </w:rPr>
  </w:style>
  <w:style w:type="character" w:customStyle="1" w:styleId="IvDbodytextChar">
    <w:name w:val="IvD bodytext Char"/>
    <w:basedOn w:val="DefaultParagraphFont"/>
    <w:link w:val="IvDbodytext"/>
    <w:rsid w:val="00BD0909"/>
    <w:rPr>
      <w:rFonts w:ascii="Arial" w:hAnsi="Arial"/>
      <w:spacing w:val="2"/>
      <w:lang w:val="en-US" w:eastAsia="en-US"/>
    </w:rPr>
  </w:style>
  <w:style w:type="paragraph" w:customStyle="1" w:styleId="null">
    <w:name w:val="null"/>
    <w:basedOn w:val="Normal"/>
    <w:rsid w:val="00224841"/>
    <w:pPr>
      <w:spacing w:before="100" w:beforeAutospacing="1" w:after="100" w:afterAutospacing="1" w:line="240" w:lineRule="auto"/>
    </w:pPr>
    <w:rPr>
      <w:rFonts w:ascii="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34396">
      <w:bodyDiv w:val="1"/>
      <w:marLeft w:val="0"/>
      <w:marRight w:val="0"/>
      <w:marTop w:val="0"/>
      <w:marBottom w:val="0"/>
      <w:divBdr>
        <w:top w:val="none" w:sz="0" w:space="0" w:color="auto"/>
        <w:left w:val="none" w:sz="0" w:space="0" w:color="auto"/>
        <w:bottom w:val="none" w:sz="0" w:space="0" w:color="auto"/>
        <w:right w:val="none" w:sz="0" w:space="0" w:color="auto"/>
      </w:divBdr>
      <w:divsChild>
        <w:div w:id="1842087653">
          <w:marLeft w:val="0"/>
          <w:marRight w:val="0"/>
          <w:marTop w:val="0"/>
          <w:marBottom w:val="0"/>
          <w:divBdr>
            <w:top w:val="none" w:sz="0" w:space="0" w:color="auto"/>
            <w:left w:val="none" w:sz="0" w:space="0" w:color="auto"/>
            <w:bottom w:val="none" w:sz="0" w:space="0" w:color="auto"/>
            <w:right w:val="none" w:sz="0" w:space="0" w:color="auto"/>
          </w:divBdr>
        </w:div>
      </w:divsChild>
    </w:div>
    <w:div w:id="724984340">
      <w:bodyDiv w:val="1"/>
      <w:marLeft w:val="0"/>
      <w:marRight w:val="0"/>
      <w:marTop w:val="0"/>
      <w:marBottom w:val="0"/>
      <w:divBdr>
        <w:top w:val="none" w:sz="0" w:space="0" w:color="auto"/>
        <w:left w:val="none" w:sz="0" w:space="0" w:color="auto"/>
        <w:bottom w:val="none" w:sz="0" w:space="0" w:color="auto"/>
        <w:right w:val="none" w:sz="0" w:space="0" w:color="auto"/>
      </w:divBdr>
    </w:div>
    <w:div w:id="842352200">
      <w:bodyDiv w:val="1"/>
      <w:marLeft w:val="0"/>
      <w:marRight w:val="0"/>
      <w:marTop w:val="0"/>
      <w:marBottom w:val="0"/>
      <w:divBdr>
        <w:top w:val="none" w:sz="0" w:space="0" w:color="auto"/>
        <w:left w:val="none" w:sz="0" w:space="0" w:color="auto"/>
        <w:bottom w:val="none" w:sz="0" w:space="0" w:color="auto"/>
        <w:right w:val="none" w:sz="0" w:space="0" w:color="auto"/>
      </w:divBdr>
      <w:divsChild>
        <w:div w:id="848761985">
          <w:marLeft w:val="1123"/>
          <w:marRight w:val="0"/>
          <w:marTop w:val="60"/>
          <w:marBottom w:val="0"/>
          <w:divBdr>
            <w:top w:val="none" w:sz="0" w:space="0" w:color="auto"/>
            <w:left w:val="none" w:sz="0" w:space="0" w:color="auto"/>
            <w:bottom w:val="none" w:sz="0" w:space="0" w:color="auto"/>
            <w:right w:val="none" w:sz="0" w:space="0" w:color="auto"/>
          </w:divBdr>
        </w:div>
      </w:divsChild>
    </w:div>
    <w:div w:id="1025639171">
      <w:bodyDiv w:val="1"/>
      <w:marLeft w:val="0"/>
      <w:marRight w:val="0"/>
      <w:marTop w:val="0"/>
      <w:marBottom w:val="0"/>
      <w:divBdr>
        <w:top w:val="none" w:sz="0" w:space="0" w:color="auto"/>
        <w:left w:val="none" w:sz="0" w:space="0" w:color="auto"/>
        <w:bottom w:val="none" w:sz="0" w:space="0" w:color="auto"/>
        <w:right w:val="none" w:sz="0" w:space="0" w:color="auto"/>
      </w:divBdr>
    </w:div>
    <w:div w:id="1050805704">
      <w:bodyDiv w:val="1"/>
      <w:marLeft w:val="0"/>
      <w:marRight w:val="0"/>
      <w:marTop w:val="0"/>
      <w:marBottom w:val="0"/>
      <w:divBdr>
        <w:top w:val="none" w:sz="0" w:space="0" w:color="auto"/>
        <w:left w:val="none" w:sz="0" w:space="0" w:color="auto"/>
        <w:bottom w:val="none" w:sz="0" w:space="0" w:color="auto"/>
        <w:right w:val="none" w:sz="0" w:space="0" w:color="auto"/>
      </w:divBdr>
      <w:divsChild>
        <w:div w:id="515536936">
          <w:marLeft w:val="1123"/>
          <w:marRight w:val="0"/>
          <w:marTop w:val="60"/>
          <w:marBottom w:val="0"/>
          <w:divBdr>
            <w:top w:val="none" w:sz="0" w:space="0" w:color="auto"/>
            <w:left w:val="none" w:sz="0" w:space="0" w:color="auto"/>
            <w:bottom w:val="none" w:sz="0" w:space="0" w:color="auto"/>
            <w:right w:val="none" w:sz="0" w:space="0" w:color="auto"/>
          </w:divBdr>
        </w:div>
      </w:divsChild>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0547589">
      <w:bodyDiv w:val="1"/>
      <w:marLeft w:val="0"/>
      <w:marRight w:val="0"/>
      <w:marTop w:val="0"/>
      <w:marBottom w:val="0"/>
      <w:divBdr>
        <w:top w:val="none" w:sz="0" w:space="0" w:color="auto"/>
        <w:left w:val="none" w:sz="0" w:space="0" w:color="auto"/>
        <w:bottom w:val="none" w:sz="0" w:space="0" w:color="auto"/>
        <w:right w:val="none" w:sz="0" w:space="0" w:color="auto"/>
      </w:divBdr>
      <w:divsChild>
        <w:div w:id="2086948251">
          <w:marLeft w:val="1123"/>
          <w:marRight w:val="0"/>
          <w:marTop w:val="60"/>
          <w:marBottom w:val="0"/>
          <w:divBdr>
            <w:top w:val="none" w:sz="0" w:space="0" w:color="auto"/>
            <w:left w:val="none" w:sz="0" w:space="0" w:color="auto"/>
            <w:bottom w:val="none" w:sz="0" w:space="0" w:color="auto"/>
            <w:right w:val="none" w:sz="0" w:space="0" w:color="auto"/>
          </w:divBdr>
        </w:div>
      </w:divsChild>
    </w:div>
    <w:div w:id="1379012066">
      <w:bodyDiv w:val="1"/>
      <w:marLeft w:val="0"/>
      <w:marRight w:val="0"/>
      <w:marTop w:val="0"/>
      <w:marBottom w:val="0"/>
      <w:divBdr>
        <w:top w:val="none" w:sz="0" w:space="0" w:color="auto"/>
        <w:left w:val="none" w:sz="0" w:space="0" w:color="auto"/>
        <w:bottom w:val="none" w:sz="0" w:space="0" w:color="auto"/>
        <w:right w:val="none" w:sz="0" w:space="0" w:color="auto"/>
      </w:divBdr>
    </w:div>
    <w:div w:id="1697150427">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211408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4AC1F-2808-4893-9A41-8AFDBF952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626103DA-C320-4753-AB7F-2A38FA3D3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854</Words>
  <Characters>6921</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7760</CharactersWithSpaces>
  <SharedDoc>false</SharedDoc>
  <HLinks>
    <vt:vector size="36" baseType="variant">
      <vt:variant>
        <vt:i4>1835063</vt:i4>
      </vt:variant>
      <vt:variant>
        <vt:i4>32</vt:i4>
      </vt:variant>
      <vt:variant>
        <vt:i4>0</vt:i4>
      </vt:variant>
      <vt:variant>
        <vt:i4>5</vt:i4>
      </vt:variant>
      <vt:variant>
        <vt:lpwstr/>
      </vt:variant>
      <vt:variant>
        <vt:lpwstr>_Toc47630758</vt:lpwstr>
      </vt:variant>
      <vt:variant>
        <vt:i4>1245239</vt:i4>
      </vt:variant>
      <vt:variant>
        <vt:i4>29</vt:i4>
      </vt:variant>
      <vt:variant>
        <vt:i4>0</vt:i4>
      </vt:variant>
      <vt:variant>
        <vt:i4>5</vt:i4>
      </vt:variant>
      <vt:variant>
        <vt:lpwstr/>
      </vt:variant>
      <vt:variant>
        <vt:lpwstr>_Toc47630757</vt:lpwstr>
      </vt:variant>
      <vt:variant>
        <vt:i4>1179703</vt:i4>
      </vt:variant>
      <vt:variant>
        <vt:i4>26</vt:i4>
      </vt:variant>
      <vt:variant>
        <vt:i4>0</vt:i4>
      </vt:variant>
      <vt:variant>
        <vt:i4>5</vt:i4>
      </vt:variant>
      <vt:variant>
        <vt:lpwstr/>
      </vt:variant>
      <vt:variant>
        <vt:lpwstr>_Toc47630756</vt:lpwstr>
      </vt:variant>
      <vt:variant>
        <vt:i4>1572915</vt:i4>
      </vt:variant>
      <vt:variant>
        <vt:i4>20</vt:i4>
      </vt:variant>
      <vt:variant>
        <vt:i4>0</vt:i4>
      </vt:variant>
      <vt:variant>
        <vt:i4>5</vt:i4>
      </vt:variant>
      <vt:variant>
        <vt:lpwstr/>
      </vt:variant>
      <vt:variant>
        <vt:lpwstr>_Toc47627268</vt:lpwstr>
      </vt:variant>
      <vt:variant>
        <vt:i4>1507379</vt:i4>
      </vt:variant>
      <vt:variant>
        <vt:i4>17</vt:i4>
      </vt:variant>
      <vt:variant>
        <vt:i4>0</vt:i4>
      </vt:variant>
      <vt:variant>
        <vt:i4>5</vt:i4>
      </vt:variant>
      <vt:variant>
        <vt:lpwstr/>
      </vt:variant>
      <vt:variant>
        <vt:lpwstr>_Toc47627267</vt:lpwstr>
      </vt:variant>
      <vt:variant>
        <vt:i4>1441843</vt:i4>
      </vt:variant>
      <vt:variant>
        <vt:i4>14</vt:i4>
      </vt:variant>
      <vt:variant>
        <vt:i4>0</vt:i4>
      </vt:variant>
      <vt:variant>
        <vt:i4>5</vt:i4>
      </vt:variant>
      <vt:variant>
        <vt:lpwstr/>
      </vt:variant>
      <vt:variant>
        <vt:lpwstr>_Toc47627266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revisionHelka</cp:lastModifiedBy>
  <cp:revision>2</cp:revision>
  <cp:lastPrinted>2008-01-31T07:09:00Z</cp:lastPrinted>
  <dcterms:created xsi:type="dcterms:W3CDTF">2021-04-01T15:33:00Z</dcterms:created>
  <dcterms:modified xsi:type="dcterms:W3CDTF">2021-04-01T15:33:00Z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